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239" w:rsidRPr="006D432B" w:rsidRDefault="00A43239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 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</w:p>
    <w:p w:rsidR="00A43239" w:rsidRPr="006D432B" w:rsidRDefault="00A43239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до рішення міської ради</w:t>
      </w:r>
    </w:p>
    <w:p w:rsidR="00A43239" w:rsidRPr="006D432B" w:rsidRDefault="00A43239" w:rsidP="00A43239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19 грудня 2018 року №</w:t>
      </w:r>
    </w:p>
    <w:p w:rsidR="00A43239" w:rsidRPr="006D432B" w:rsidRDefault="00A43239" w:rsidP="00A432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43239" w:rsidRPr="005076C7" w:rsidRDefault="00A43239" w:rsidP="00A90B6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076C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ПРОГРАМА</w:t>
      </w:r>
    </w:p>
    <w:p w:rsidR="008A493C" w:rsidRDefault="00A43239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076C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розвитку первинної медико-санітарної допомоги </w:t>
      </w:r>
      <w:proofErr w:type="spellStart"/>
      <w:r w:rsidRPr="005076C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Зеленодольської</w:t>
      </w:r>
      <w:proofErr w:type="spellEnd"/>
      <w:r w:rsidRPr="005076C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міської об’єднаної територіальної громадина 201</w:t>
      </w:r>
      <w:r w:rsidR="008A493C" w:rsidRPr="005076C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9-2021</w:t>
      </w:r>
      <w:r w:rsidRPr="005076C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8A493C" w:rsidRPr="005076C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роки</w:t>
      </w:r>
      <w:r w:rsidRPr="005076C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D8711A" w:rsidRPr="005076C7" w:rsidRDefault="00D8711A" w:rsidP="008A49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43239" w:rsidRPr="006D432B" w:rsidRDefault="00A43239" w:rsidP="00347726">
      <w:pPr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Загальна частина</w:t>
      </w:r>
    </w:p>
    <w:p w:rsidR="00EB3504" w:rsidRPr="006D432B" w:rsidRDefault="00A43239" w:rsidP="00EB3504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Громадяни України незалежно від місця проживання мають право на отримання в усіх лікувально-профілактичних закладах системи охорони здоров’я гарантований рівень медичної допомоги, який визначений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Закон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України </w:t>
      </w:r>
      <w:r w:rsidR="00EB3504" w:rsidRPr="006D432B">
        <w:rPr>
          <w:rFonts w:ascii="Times New Roman" w:hAnsi="Times New Roman"/>
          <w:sz w:val="24"/>
          <w:szCs w:val="24"/>
          <w:lang w:val="uk-UA"/>
        </w:rPr>
        <w:t>«Основи законодавства України про охорону здоров’я»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«Про державні фінансові гарантії медичного обслуговування населення», наказом МОЗ України від 19.03.2018</w:t>
      </w:r>
      <w:r w:rsidR="006D432B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р. №504 «Про затвердження Порядку надання первинної медичної допомоги»,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постановами Кабінету Міністрів України від 11.07.2002 р. № 955 «Про затвердження програми надання громадянам гарантованої державної безоплатної медичної допомоги», від 09.11.2016 р. №863 «Про запровадження відшкодування вартості лікарських засобів»,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від 03.12.2009 р. №1301 «Про затвердження Порядку забезпечення інвалідів, дітей-інвалідів технічними та іншими засобами» та Наказ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ами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Міністерства охорони здоров’я від 11.07.2017 р. №782 «Про затвердження Порядку визначення обсягів потреби в закупівлі лікарських засобів закладами і установами охорони здоров’я, що повністю або частково фінансуються з державного та місцевих бюджетів»</w:t>
      </w:r>
      <w:r w:rsidR="008A493C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, від 26.01.2018р. №148 «</w:t>
      </w:r>
      <w:r w:rsidR="008A493C" w:rsidRPr="006D432B">
        <w:rPr>
          <w:rFonts w:ascii="Times New Roman" w:hAnsi="Times New Roman"/>
          <w:sz w:val="24"/>
          <w:szCs w:val="24"/>
          <w:lang w:val="uk-UA"/>
        </w:rPr>
        <w:t>Про затвердження Примірного табеля матеріально-технічного оснащення закладів охорони здоров’я та фізичних осіб – підприємців, які надають первинну медичну допомогу»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Однак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сьогодні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дає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кожному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громадянину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реалізувати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своє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гарантоване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статтею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49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Конституції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право на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охорону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здоров’я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допомогу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страхування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Згідно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із вищевказаною статтею</w:t>
      </w:r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держава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зобов’язана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створювати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умови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ефективного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і доступного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всіх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обслуговування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Водночас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якість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закладів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охорони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здоров’я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їх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кадрове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завжди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відповідає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сучасним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вимогам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та потребам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мешканців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громади</w:t>
      </w:r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Причинами такого стану справ є,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насамперед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нестача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належно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обладнаних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відсутність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достатньої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кількості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медикаментів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і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транспортних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засобів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, а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також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дефіцит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кваліфікованих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медичних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кадрів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Ситуація ускладнюється і тим, що випускники медичних університетів украй неохоче погоджуються працювати у сільській місцевості, а держава упродовж тривалого періоду часу виявляється не спроможною розробити дієві механізми вирішення цієї проблеми. 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об’єднаної територіальної громади працює </w:t>
      </w:r>
      <w:r w:rsidRPr="006D432B">
        <w:rPr>
          <w:rFonts w:ascii="Times New Roman" w:hAnsi="Times New Roman"/>
          <w:sz w:val="24"/>
          <w:szCs w:val="24"/>
          <w:lang w:val="uk-UA"/>
        </w:rPr>
        <w:t>комунальне некомерційне підприємство «</w:t>
      </w:r>
      <w:proofErr w:type="spellStart"/>
      <w:r w:rsidRPr="006D432B">
        <w:rPr>
          <w:rFonts w:ascii="Times New Roman" w:hAnsi="Times New Roman"/>
          <w:sz w:val="24"/>
          <w:szCs w:val="24"/>
          <w:lang w:val="uk-UA"/>
        </w:rPr>
        <w:t>Зеленодольський</w:t>
      </w:r>
      <w:proofErr w:type="spellEnd"/>
      <w:r w:rsidRPr="006D432B">
        <w:rPr>
          <w:rFonts w:ascii="Times New Roman" w:hAnsi="Times New Roman"/>
          <w:sz w:val="24"/>
          <w:szCs w:val="24"/>
          <w:lang w:val="uk-UA"/>
        </w:rPr>
        <w:t xml:space="preserve"> центр первинної медико-санітарної допомоги» </w:t>
      </w:r>
      <w:proofErr w:type="spellStart"/>
      <w:r w:rsidRPr="006D432B">
        <w:rPr>
          <w:rFonts w:ascii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6D432B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, який включає в себе три лікарських амбулаторії загальної практики сімейної медицини. Загальною проблемою для амбулаторій є: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Низький рівень фінансування закладу на придбання медикаментів, витратних матеріалів, реактивів для проведення аналізів, закупівлю медичної документації (бланків, журналів), паперу (в зв’язку з запровадженням «Електронної системи охорони здоров’я «Е-</w:t>
      </w:r>
      <w:r w:rsidRPr="006D432B">
        <w:rPr>
          <w:rFonts w:ascii="Times New Roman" w:eastAsia="Times New Roman" w:hAnsi="Times New Roman"/>
          <w:sz w:val="24"/>
          <w:szCs w:val="24"/>
          <w:lang w:val="en-US" w:eastAsia="ru-RU"/>
        </w:rPr>
        <w:t>Health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»), паливно-мастильних матеріалів, запчастин на автомобілі, послуги з заправки картриджів тощо. </w:t>
      </w:r>
    </w:p>
    <w:p w:rsidR="00A43239" w:rsidRPr="006D432B" w:rsidRDefault="00A43239" w:rsidP="00A4323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Постійне зростання соціально незахищених та соціально вразливих груп населення, з-поміж них: 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інвалідів і дітей-інвалідів, які потребують забезпечення технічними та іншими засобами реабілітації відповідно до Постанови Кабінету Міністрів України від 03.12.2009 р. №1301 «Про затвердження Порядку забезпечення інвалідів, дітей-інвалідів технічними та іншими засобами»;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хворих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нефрологічного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профілю.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Гломерулонефрит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інші нефрити мають агресивний прогресуючий перебіг, який через 2-3 роки дає нефросклероз із нирковою недостатністю.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Це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приводить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хворих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інвалідності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Такі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хворі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потребують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гемодіалізу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підготовки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пересадки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донорської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D432B">
        <w:rPr>
          <w:rFonts w:ascii="Times New Roman" w:eastAsia="Times New Roman" w:hAnsi="Times New Roman"/>
          <w:sz w:val="24"/>
          <w:szCs w:val="24"/>
          <w:lang w:eastAsia="ru-RU"/>
        </w:rPr>
        <w:t>нирки</w:t>
      </w:r>
      <w:proofErr w:type="spellEnd"/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дітей першого року життя, народжених ВІЛ-інфікованими матерями;</w:t>
      </w:r>
    </w:p>
    <w:p w:rsidR="00A43239" w:rsidRPr="006D432B" w:rsidRDefault="00A43239" w:rsidP="00A4323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хворих на туберкульоз, діабет (цукровий та нецукровий), онкологічні захворювання.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>Для поліпшення надання медичної допомоги населенню, особливо людям пенсійного віку,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послуг.</w:t>
      </w:r>
    </w:p>
    <w:p w:rsidR="00A43239" w:rsidRPr="006D432B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Реалізація даної програми направлена на залучення коштів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>бюджету об’єднаної територіальної громади</w:t>
      </w:r>
      <w:r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інших, не заборонених законодавством джерел, для вирішення вищеперерахованих завдань</w:t>
      </w:r>
      <w:r w:rsidR="00EB3504" w:rsidRP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</w:t>
      </w:r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сприятиме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поліпшенню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стану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здоров'я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населення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забезпечення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кваліфікованої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медичної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допомоги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первинному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рівні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орієнтованих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інтегрованому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підході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вирішення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медико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санітарних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потреб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окремих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громадян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, родин та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громади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цілому</w:t>
      </w:r>
      <w:proofErr w:type="spellEnd"/>
      <w:r w:rsidR="00EB3504" w:rsidRPr="006D432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43239" w:rsidRPr="00A43239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 </w:t>
      </w:r>
      <w:r w:rsidR="00A43239"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Мета Програми</w:t>
      </w:r>
    </w:p>
    <w:p w:rsidR="00A43239" w:rsidRPr="00A43239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Метою програми є об’єднання зусиль держави,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>міської ради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керівників підприємств, установ, організацій, що здійснюють діяльність на території </w:t>
      </w:r>
      <w:proofErr w:type="spellStart"/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D43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міської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об’єднаної територіальної громади, в напрямку покращення якості та тривалості життя жителів громади, підвищити доступ населення до якісної медичної допомоги, модернізації та зміцнення матеріально-технічної бази закладів охорони здоров’я, оснащення їх необхідним медичним обладнанням, комп′ютерною технікою, автотранспортом, поліпшення умов праці працівників закладів первинної медико-санітарної допомоги.</w:t>
      </w:r>
    </w:p>
    <w:p w:rsidR="00A43239" w:rsidRPr="00A43239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</w:t>
      </w:r>
      <w:r w:rsidR="00A43239"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Основні завдання та заходи Програми</w:t>
      </w:r>
    </w:p>
    <w:p w:rsidR="00A43239" w:rsidRPr="00A43239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Медична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допомога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жителям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об’єднаної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територіальної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громади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 доступною.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Проте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накопичувалися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роками і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потребують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невідкладного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вирішення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додаткового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фінансування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бюджету. </w:t>
      </w:r>
    </w:p>
    <w:p w:rsidR="00A43239" w:rsidRPr="00A43239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Оптимальним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варіантом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розв’язання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проблем є:</w:t>
      </w:r>
    </w:p>
    <w:p w:rsidR="00A43239" w:rsidRPr="00A43239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пріоритетний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розвиток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засадах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сімейної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A43239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удосконалення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матеріально-технічної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бази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світових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стандартів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запровадження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економічних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управлінських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механізмів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конституційних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охорону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A43239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залучення засобів масової інформації, навчальних закладів та громадських організацій до більш широкого інформування населення з питань профілактики, раннього виявлення та ефективного лікування захворювань; </w:t>
      </w:r>
    </w:p>
    <w:p w:rsidR="00A43239" w:rsidRPr="006D432B" w:rsidRDefault="00A43239" w:rsidP="00A43239">
      <w:pPr>
        <w:numPr>
          <w:ilvl w:val="0"/>
          <w:numId w:val="35"/>
        </w:numPr>
        <w:shd w:val="clear" w:color="auto" w:fill="FFFFFF"/>
        <w:spacing w:after="0" w:line="240" w:lineRule="auto"/>
        <w:ind w:hanging="35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A4323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поліпшення </w:t>
      </w:r>
      <w:r w:rsidRPr="006D432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медичної допомоги вразливим верствам населення та жителям громади, у тому числі через </w:t>
      </w:r>
      <w:r w:rsidRPr="006D432B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uk-UA"/>
        </w:rPr>
        <w:t>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17.08.1998 №1303 «</w:t>
      </w:r>
      <w:r w:rsidRPr="006D432B">
        <w:rPr>
          <w:rFonts w:ascii="Times New Roman" w:eastAsia="Times New Roman" w:hAnsi="Times New Roman"/>
          <w:sz w:val="24"/>
          <w:szCs w:val="24"/>
          <w:lang w:val="uk-UA" w:eastAsia="uk-UA"/>
        </w:rPr>
        <w:t>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Pr="006D432B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»;</w:t>
      </w:r>
    </w:p>
    <w:p w:rsidR="00A43239" w:rsidRPr="00A43239" w:rsidRDefault="00A43239" w:rsidP="00A43239">
      <w:pPr>
        <w:numPr>
          <w:ilvl w:val="0"/>
          <w:numId w:val="35"/>
        </w:numPr>
        <w:shd w:val="clear" w:color="auto" w:fill="FFFFFF"/>
        <w:spacing w:after="0" w:line="240" w:lineRule="auto"/>
        <w:ind w:hanging="35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A43239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забезпечення населення ефективними, безпечними і якісними лікарськими засобами та виробами медичного призначення;</w:t>
      </w:r>
    </w:p>
    <w:p w:rsidR="00A43239" w:rsidRPr="00A43239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 xml:space="preserve">поліпшення стану здоров’я всіх верств населення, зниження рівня захворюваності, інвалідності, смертності, продовження активного довголіття і тривалості життя; </w:t>
      </w:r>
    </w:p>
    <w:p w:rsidR="00A43239" w:rsidRPr="00A43239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наявних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кадрових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фінансових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матеріальних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ресурсів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A43239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сучасної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інформаційного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сфері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A43239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удосконалення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інноваційної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політики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сфері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впровадження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A432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персоніфікованого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електронного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сучасних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телемедичних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технологій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A43239" w:rsidRPr="00D96162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завданнями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функціонування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первинної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медико-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D432B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Зеленодольської</w:t>
      </w:r>
      <w:proofErr w:type="spellEnd"/>
      <w:r w:rsidR="006D432B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міської об’єднаної територіальної громади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DF157A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2019-2021 роки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є: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збереження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гарантована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кваліфікованої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будівництво, реконструкція, проведення ремонту</w:t>
      </w:r>
      <w:r w:rsidR="00DF157A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амбулаторій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, оснащення обладнанням, автотранспортом і засобами зв’язку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удосконалення організації медичної допомоги, пріоритетний розвиток первинної медико-санітарної допомоги, у тому числі шляхом забезпечення належного фінансування поточного утримання центру первинної медико-санітарної допомоги;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рівня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санітарної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здорового способу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життя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удосконалення механізмів фінансування закладів охорони здоров'я;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придбання технічних засобів та інших засобів реабілітації інвалідів та дітей-інвалідів (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калоприймачі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та підгузки);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відшкодування 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17.08.1998 р. №1303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</w:t>
      </w:r>
      <w:r w:rsidR="00E45693"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евними категоріями захворювань»</w:t>
      </w: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консультування та безкоштовного тестування на ВІЛ для загального населення та представників уразливих груп;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надання якісної медичної допомоги;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адаптованими молочними сумішами дітей першого року життя, народжених ВІЛ-інфікованими матерями;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безкоштовне проведення флюорографічного обстеження,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туберкулінодіагностики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вакцинації дітей;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забезпечення хворих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нефрологічного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профілю необхідними медикаментами (препарат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Мірцера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50мкг);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стимулювання медичних працівників для роботи в сільській місцевості. </w:t>
      </w:r>
    </w:p>
    <w:p w:rsidR="00A43239" w:rsidRPr="00D96162" w:rsidRDefault="00A43239" w:rsidP="00A4323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змогу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підвищити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ефективність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охорони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здоров’я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 метою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подолання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несприятливих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демографічних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тенденцій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збільшити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питому вагу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що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надається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лікарями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практики –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сімейними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лікарями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щороку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7 – 10%;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сформувати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систему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населенню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високоякісної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медичної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засадах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сімейної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lastRenderedPageBreak/>
        <w:t>створити умови для реалізації принципу організації та координації лікарем загальної практики – сімейним лікарем – скерування для надання пацієнтам вторинної спеціалізованої та стаціонарної медичної допомоги;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забезпечення збереження та подальше зміцнення матеріально-технічної бази, її модернізація;</w:t>
      </w:r>
    </w:p>
    <w:p w:rsidR="00A43239" w:rsidRPr="00D96162" w:rsidRDefault="00A43239" w:rsidP="00A4323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покращити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практики –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сімейної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медицини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рекомендованих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табелів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оснащення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нормативів</w:t>
      </w:r>
      <w:proofErr w:type="spellEnd"/>
      <w:r w:rsidRPr="00D96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3239" w:rsidRPr="00D96162" w:rsidRDefault="00347726" w:rsidP="0034772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Фінансове забезпечення Програми</w:t>
      </w:r>
    </w:p>
    <w:p w:rsidR="00DF157A" w:rsidRPr="00D96162" w:rsidRDefault="00A43239" w:rsidP="00DF157A"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proofErr w:type="spellStart"/>
      <w:r w:rsidRPr="00D96162">
        <w:t>Фінансування</w:t>
      </w:r>
      <w:proofErr w:type="spellEnd"/>
      <w:r w:rsidRPr="00D96162">
        <w:t xml:space="preserve"> </w:t>
      </w:r>
      <w:proofErr w:type="spellStart"/>
      <w:r w:rsidRPr="00D96162">
        <w:t>Програми</w:t>
      </w:r>
      <w:proofErr w:type="spellEnd"/>
      <w:r w:rsidRPr="00D96162">
        <w:t xml:space="preserve"> </w:t>
      </w:r>
      <w:proofErr w:type="spellStart"/>
      <w:r w:rsidRPr="00D96162">
        <w:t>здійснюватиметься</w:t>
      </w:r>
      <w:proofErr w:type="spellEnd"/>
      <w:r w:rsidRPr="00D96162">
        <w:t xml:space="preserve"> </w:t>
      </w:r>
      <w:proofErr w:type="gramStart"/>
      <w:r w:rsidRPr="00D96162">
        <w:t>у межах</w:t>
      </w:r>
      <w:proofErr w:type="gramEnd"/>
      <w:r w:rsidRPr="00D96162">
        <w:t xml:space="preserve"> </w:t>
      </w:r>
      <w:proofErr w:type="spellStart"/>
      <w:r w:rsidRPr="00D96162">
        <w:t>асигнувань</w:t>
      </w:r>
      <w:proofErr w:type="spellEnd"/>
      <w:r w:rsidRPr="00D96162">
        <w:t xml:space="preserve">, </w:t>
      </w:r>
      <w:proofErr w:type="spellStart"/>
      <w:r w:rsidRPr="00D96162">
        <w:t>передбачених</w:t>
      </w:r>
      <w:proofErr w:type="spellEnd"/>
      <w:r w:rsidRPr="00D96162">
        <w:t xml:space="preserve"> на </w:t>
      </w:r>
      <w:proofErr w:type="spellStart"/>
      <w:r w:rsidRPr="00D96162">
        <w:t>охорону</w:t>
      </w:r>
      <w:proofErr w:type="spellEnd"/>
      <w:r w:rsidRPr="00D96162">
        <w:t xml:space="preserve"> </w:t>
      </w:r>
      <w:proofErr w:type="spellStart"/>
      <w:r w:rsidRPr="00D96162">
        <w:t>здоров’я</w:t>
      </w:r>
      <w:proofErr w:type="spellEnd"/>
      <w:r w:rsidRPr="00D96162">
        <w:t xml:space="preserve"> в </w:t>
      </w:r>
      <w:r w:rsidRPr="00D96162">
        <w:rPr>
          <w:lang w:val="uk-UA"/>
        </w:rPr>
        <w:t>міському</w:t>
      </w:r>
      <w:r w:rsidRPr="00D96162">
        <w:t xml:space="preserve"> </w:t>
      </w:r>
      <w:proofErr w:type="spellStart"/>
      <w:r w:rsidRPr="00D96162">
        <w:t>бюджеті</w:t>
      </w:r>
      <w:proofErr w:type="spellEnd"/>
      <w:r w:rsidRPr="00D96162">
        <w:t xml:space="preserve">, а </w:t>
      </w:r>
      <w:proofErr w:type="spellStart"/>
      <w:r w:rsidRPr="00D96162">
        <w:t>також</w:t>
      </w:r>
      <w:proofErr w:type="spellEnd"/>
      <w:r w:rsidRPr="00D96162">
        <w:t xml:space="preserve"> </w:t>
      </w:r>
      <w:proofErr w:type="spellStart"/>
      <w:r w:rsidRPr="00D96162">
        <w:t>інших</w:t>
      </w:r>
      <w:proofErr w:type="spellEnd"/>
      <w:r w:rsidRPr="00D96162">
        <w:t xml:space="preserve"> </w:t>
      </w:r>
      <w:proofErr w:type="spellStart"/>
      <w:r w:rsidRPr="00D96162">
        <w:t>джерел</w:t>
      </w:r>
      <w:proofErr w:type="spellEnd"/>
      <w:r w:rsidRPr="00D96162">
        <w:t xml:space="preserve">, не </w:t>
      </w:r>
      <w:proofErr w:type="spellStart"/>
      <w:r w:rsidRPr="00D96162">
        <w:t>заборонених</w:t>
      </w:r>
      <w:proofErr w:type="spellEnd"/>
      <w:r w:rsidRPr="00D96162">
        <w:t xml:space="preserve"> </w:t>
      </w:r>
      <w:proofErr w:type="spellStart"/>
      <w:r w:rsidRPr="00D96162">
        <w:t>чинним</w:t>
      </w:r>
      <w:proofErr w:type="spellEnd"/>
      <w:r w:rsidRPr="00D96162">
        <w:t xml:space="preserve"> </w:t>
      </w:r>
      <w:proofErr w:type="spellStart"/>
      <w:r w:rsidRPr="00D96162">
        <w:t>законодавством</w:t>
      </w:r>
      <w:proofErr w:type="spellEnd"/>
      <w:r w:rsidRPr="00D96162">
        <w:t xml:space="preserve"> </w:t>
      </w:r>
      <w:proofErr w:type="spellStart"/>
      <w:r w:rsidRPr="00D96162">
        <w:t>України</w:t>
      </w:r>
      <w:proofErr w:type="spellEnd"/>
      <w:r w:rsidRPr="00D96162">
        <w:t xml:space="preserve">. </w:t>
      </w:r>
    </w:p>
    <w:p w:rsidR="00A43239" w:rsidRPr="00D96162" w:rsidRDefault="00DF157A" w:rsidP="00DF157A">
      <w:pPr>
        <w:pStyle w:val="aa"/>
        <w:shd w:val="clear" w:color="auto" w:fill="FFFFFF"/>
        <w:spacing w:before="0" w:beforeAutospacing="0" w:after="0" w:afterAutospacing="0"/>
        <w:ind w:firstLine="360"/>
        <w:jc w:val="both"/>
      </w:pPr>
      <w:r w:rsidRPr="00D96162">
        <w:rPr>
          <w:lang w:val="uk-UA"/>
        </w:rPr>
        <w:t>Необхідний обсяг фінансування Програми з місцевих бюджетів визначатиметься щороку, виходячи з конкретних завдань та наявності коштів. </w:t>
      </w:r>
    </w:p>
    <w:p w:rsidR="00DF157A" w:rsidRPr="00D96162" w:rsidRDefault="00A43239" w:rsidP="00DF157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Загальний обсяг фінансування </w:t>
      </w:r>
      <w:r w:rsidR="003204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</w:t>
      </w:r>
      <w:r w:rsidR="00DF157A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рахунок власного фінансового ресурсу </w:t>
      </w:r>
      <w:r w:rsidR="00320427">
        <w:rPr>
          <w:rFonts w:ascii="Times New Roman" w:eastAsia="Times New Roman" w:hAnsi="Times New Roman"/>
          <w:sz w:val="24"/>
          <w:szCs w:val="24"/>
          <w:lang w:val="uk-UA" w:eastAsia="ru-RU"/>
        </w:rPr>
        <w:t>бюджету об’єднаної територіальної громади</w:t>
      </w:r>
      <w:r w:rsidR="00DF157A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 2019 році становить</w:t>
      </w:r>
      <w:r w:rsidR="003204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8 273 301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96162">
        <w:rPr>
          <w:rFonts w:ascii="Times New Roman" w:eastAsia="Times New Roman" w:hAnsi="Times New Roman"/>
          <w:sz w:val="24"/>
          <w:szCs w:val="24"/>
          <w:lang w:val="uk-UA" w:eastAsia="ru-RU"/>
        </w:rPr>
        <w:t>гривні</w:t>
      </w:r>
      <w:r w:rsidR="00320427">
        <w:rPr>
          <w:rFonts w:ascii="Times New Roman" w:eastAsia="Times New Roman" w:hAnsi="Times New Roman"/>
          <w:sz w:val="24"/>
          <w:szCs w:val="24"/>
          <w:lang w:val="uk-UA" w:eastAsia="ru-RU"/>
        </w:rPr>
        <w:t>, за рахунок трансфертів з державного бюджету – 114 801 гривня.</w:t>
      </w:r>
    </w:p>
    <w:p w:rsidR="00A43239" w:rsidRPr="00D96162" w:rsidRDefault="00347726" w:rsidP="00347726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Результативні показники виконання Програми</w:t>
      </w:r>
    </w:p>
    <w:p w:rsidR="00347726" w:rsidRPr="00D96162" w:rsidRDefault="00347726" w:rsidP="00347726">
      <w:pPr>
        <w:tabs>
          <w:tab w:val="left" w:pos="1260"/>
          <w:tab w:val="left" w:pos="1440"/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D96162">
        <w:rPr>
          <w:rFonts w:ascii="Times New Roman" w:hAnsi="Times New Roman"/>
          <w:color w:val="000000"/>
          <w:sz w:val="24"/>
          <w:szCs w:val="24"/>
          <w:lang w:val="uk-UA" w:eastAsia="ru-RU"/>
        </w:rPr>
        <w:t>Очікуваними результатами виконання Програми є:</w:t>
      </w:r>
    </w:p>
    <w:p w:rsidR="00347726" w:rsidRPr="00D96162" w:rsidRDefault="00D96162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тримання кваліфікованої, професійної первинної медичної допомоги жителями громади;</w:t>
      </w:r>
    </w:p>
    <w:p w:rsidR="00347726" w:rsidRPr="00D96162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учасна система інформаційного забезпечення у сфері охорони здоров’я;</w:t>
      </w:r>
    </w:p>
    <w:p w:rsidR="00347726" w:rsidRPr="00D96162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ідвищення ефективності роботи комунального некомерційного підприємства «</w:t>
      </w:r>
      <w:proofErr w:type="spellStart"/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Зеленодольський</w:t>
      </w:r>
      <w:proofErr w:type="spellEnd"/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 xml:space="preserve"> центр ПМСД» ЗМР;</w:t>
      </w:r>
    </w:p>
    <w:p w:rsidR="00347726" w:rsidRPr="00D96162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окращення матеріально-технічної бази;</w:t>
      </w:r>
    </w:p>
    <w:p w:rsidR="00347726" w:rsidRPr="00D96162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до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тримання санітарно-епідеміологічних правил і норм, гігієнічних нормативів;</w:t>
      </w:r>
    </w:p>
    <w:p w:rsidR="00347726" w:rsidRPr="00D96162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о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держання хворими ефективних, безпечних і якісних лікарських засобів та виробів медичного призначення;</w:t>
      </w:r>
    </w:p>
    <w:p w:rsidR="00347726" w:rsidRPr="00D96162" w:rsidRDefault="00893D5E" w:rsidP="00347726">
      <w:pPr>
        <w:numPr>
          <w:ilvl w:val="0"/>
          <w:numId w:val="39"/>
        </w:numPr>
        <w:tabs>
          <w:tab w:val="left" w:pos="1260"/>
          <w:tab w:val="left" w:pos="1440"/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</w:t>
      </w:r>
      <w:r w:rsidR="00347726" w:rsidRPr="00D96162">
        <w:rPr>
          <w:rFonts w:ascii="Times New Roman" w:hAnsi="Times New Roman"/>
          <w:sz w:val="24"/>
          <w:szCs w:val="24"/>
          <w:lang w:val="uk-UA" w:eastAsia="ru-RU"/>
        </w:rPr>
        <w:t>истема персоніфікованого електронного реєстру громадян для         діяльності первинної медико-санітарної допомоги.</w:t>
      </w:r>
    </w:p>
    <w:p w:rsidR="00A43239" w:rsidRPr="00D96162" w:rsidRDefault="00A43239" w:rsidP="00347726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Разом з цим, передбачається, що виконання  Програми сприятиме:</w:t>
      </w:r>
    </w:p>
    <w:p w:rsidR="00A43239" w:rsidRPr="00D96162" w:rsidRDefault="00B63EBC" w:rsidP="00B63EB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значному підвищенню ефективності   та   якості  надання спеціалізованої лікувально-профілактичної допомоги хворим, а, отже, зниженню рівня </w:t>
      </w:r>
      <w:proofErr w:type="spellStart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інвалідизації</w:t>
      </w:r>
      <w:proofErr w:type="spellEnd"/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смертності  пацієнтів, покращенню якості їх життя та підвищенню ступеня соціальної  реабілітації;</w:t>
      </w:r>
    </w:p>
    <w:p w:rsidR="00A43239" w:rsidRPr="00D96162" w:rsidRDefault="00B63EBC" w:rsidP="00B63EB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стабілізації рівнів захворюваності населення на активний туберкульоз легенів, онкологічну патологію та на ВІЛ/СНІД з подальшим їх зниженням. </w:t>
      </w:r>
    </w:p>
    <w:p w:rsidR="00A43239" w:rsidRPr="00D96162" w:rsidRDefault="00347726" w:rsidP="0034772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 </w:t>
      </w:r>
      <w:r w:rsidR="00A43239"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Відповідальний виконавець та контроль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Відповідальним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виконавц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ями</w:t>
      </w:r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програми є </w:t>
      </w:r>
      <w:r w:rsidRPr="00D96162">
        <w:rPr>
          <w:rFonts w:ascii="Times New Roman" w:hAnsi="Times New Roman"/>
          <w:sz w:val="24"/>
          <w:szCs w:val="24"/>
          <w:lang w:val="uk-UA"/>
        </w:rPr>
        <w:t>комунальне некомерційне підприємство «</w:t>
      </w:r>
      <w:proofErr w:type="spellStart"/>
      <w:r w:rsidRPr="00D96162">
        <w:rPr>
          <w:rFonts w:ascii="Times New Roman" w:hAnsi="Times New Roman"/>
          <w:sz w:val="24"/>
          <w:szCs w:val="24"/>
          <w:lang w:val="uk-UA"/>
        </w:rPr>
        <w:t>Зеленодольський</w:t>
      </w:r>
      <w:proofErr w:type="spellEnd"/>
      <w:r w:rsidRPr="00D96162">
        <w:rPr>
          <w:rFonts w:ascii="Times New Roman" w:hAnsi="Times New Roman"/>
          <w:sz w:val="24"/>
          <w:szCs w:val="24"/>
          <w:lang w:val="uk-UA"/>
        </w:rPr>
        <w:t xml:space="preserve"> центр первинної медико-санітарної допомоги» </w:t>
      </w:r>
      <w:proofErr w:type="spellStart"/>
      <w:r w:rsidRPr="00D96162">
        <w:rPr>
          <w:rFonts w:ascii="Times New Roman" w:hAnsi="Times New Roman"/>
          <w:sz w:val="24"/>
          <w:szCs w:val="24"/>
          <w:lang w:val="uk-UA"/>
        </w:rPr>
        <w:t>Зеленодольської</w:t>
      </w:r>
      <w:proofErr w:type="spellEnd"/>
      <w:r w:rsidRPr="00D96162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виконавчий комітет </w:t>
      </w:r>
      <w:proofErr w:type="spellStart"/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="00893D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A43239" w:rsidRPr="00D96162" w:rsidRDefault="00A43239" w:rsidP="00A4323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виконанням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програми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дійснює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постійна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комісія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Зеленодольської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міської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з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питань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соціального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населення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освіти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спорту,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охорони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здоров'я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молоддю</w:t>
      </w:r>
      <w:proofErr w:type="spellEnd"/>
      <w:r w:rsidRPr="00D961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47726" w:rsidRPr="00D96162" w:rsidRDefault="00A43239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961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 </w:t>
      </w:r>
    </w:p>
    <w:p w:rsidR="00347726" w:rsidRPr="00D96162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43239" w:rsidRDefault="00893D5E" w:rsidP="00347726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Секретар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О.М.Ярошенко</w:t>
      </w:r>
      <w:proofErr w:type="spellEnd"/>
    </w:p>
    <w:p w:rsidR="00A90B6D" w:rsidRDefault="00A90B6D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347726" w:rsidRDefault="00347726" w:rsidP="00A4323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506A5" w:rsidRDefault="00347726" w:rsidP="00AB7060">
      <w:pPr>
        <w:spacing w:after="0" w:line="240" w:lineRule="auto"/>
        <w:ind w:left="4956" w:firstLine="6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47726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  <w:r w:rsidR="005F083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</w:t>
      </w:r>
    </w:p>
    <w:p w:rsidR="00347726" w:rsidRDefault="00347726" w:rsidP="00AB7060">
      <w:pPr>
        <w:spacing w:after="0" w:line="240" w:lineRule="auto"/>
        <w:ind w:left="4956" w:firstLine="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347726">
        <w:rPr>
          <w:rFonts w:ascii="Times New Roman" w:eastAsia="Times New Roman" w:hAnsi="Times New Roman"/>
          <w:sz w:val="24"/>
          <w:szCs w:val="24"/>
          <w:lang w:val="uk-UA" w:eastAsia="ru-RU"/>
        </w:rPr>
        <w:t>о Програми</w:t>
      </w:r>
      <w:r w:rsidR="008506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розвитку первинної медико-санітарної допомоги </w:t>
      </w:r>
      <w:proofErr w:type="spellStart"/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об’єднаної територіальної громади</w:t>
      </w:r>
      <w:r w:rsidR="008506A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на 201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9-2021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роки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347726" w:rsidRPr="00A43239" w:rsidRDefault="00347726" w:rsidP="0034772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AB7060" w:rsidRPr="00AB7060" w:rsidRDefault="008506A5" w:rsidP="00AB7060">
      <w:pPr>
        <w:spacing w:after="0" w:line="240" w:lineRule="auto"/>
        <w:ind w:firstLine="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B7060">
        <w:rPr>
          <w:rFonts w:ascii="Times New Roman" w:eastAsia="Droid Sans Fallback" w:hAnsi="Times New Roman"/>
          <w:bCs/>
          <w:kern w:val="1"/>
          <w:sz w:val="28"/>
          <w:szCs w:val="28"/>
          <w:lang w:val="uk-UA" w:eastAsia="zh-CN" w:bidi="hi-IN"/>
        </w:rPr>
        <w:t xml:space="preserve">Напрямки діяльності та заходи </w:t>
      </w:r>
      <w:r w:rsidR="00AB7060" w:rsidRPr="00AB7060">
        <w:rPr>
          <w:rFonts w:ascii="Times New Roman" w:eastAsia="Droid Sans Fallback" w:hAnsi="Times New Roman"/>
          <w:bCs/>
          <w:kern w:val="1"/>
          <w:sz w:val="28"/>
          <w:szCs w:val="28"/>
          <w:lang w:val="uk-UA" w:eastAsia="zh-CN" w:bidi="hi-IN"/>
        </w:rPr>
        <w:t xml:space="preserve">Програми </w:t>
      </w:r>
      <w:r w:rsidR="00AB7060" w:rsidRPr="00AB70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первинної медико-санітарної допомоги </w:t>
      </w:r>
      <w:proofErr w:type="spellStart"/>
      <w:r w:rsidR="00AB7060" w:rsidRPr="00AB7060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="00AB7060" w:rsidRPr="00AB70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об’єднаної територіальної громади на 2019-2021 роки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161"/>
        <w:gridCol w:w="1259"/>
        <w:gridCol w:w="901"/>
        <w:gridCol w:w="900"/>
        <w:gridCol w:w="900"/>
        <w:gridCol w:w="722"/>
        <w:gridCol w:w="722"/>
        <w:gridCol w:w="1437"/>
      </w:tblGrid>
      <w:tr w:rsidR="00D246E0" w:rsidRPr="00D246E0" w:rsidTr="00D246E0">
        <w:trPr>
          <w:trHeight w:val="1015"/>
        </w:trPr>
        <w:tc>
          <w:tcPr>
            <w:tcW w:w="247" w:type="pct"/>
            <w:vMerge w:val="restart"/>
          </w:tcPr>
          <w:p w:rsidR="00F97FE3" w:rsidRPr="00D246E0" w:rsidRDefault="00F97FE3" w:rsidP="00F97F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№з/п</w:t>
            </w:r>
          </w:p>
        </w:tc>
        <w:tc>
          <w:tcPr>
            <w:tcW w:w="1141" w:type="pct"/>
            <w:vMerge w:val="restart"/>
          </w:tcPr>
          <w:p w:rsidR="00F97FE3" w:rsidRPr="00D246E0" w:rsidRDefault="00F97FE3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Найменування заходів</w:t>
            </w:r>
          </w:p>
        </w:tc>
        <w:tc>
          <w:tcPr>
            <w:tcW w:w="665" w:type="pct"/>
            <w:vMerge w:val="restar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Виконавець</w:t>
            </w:r>
          </w:p>
        </w:tc>
        <w:tc>
          <w:tcPr>
            <w:tcW w:w="476" w:type="pct"/>
            <w:vMerge w:val="restar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Термін</w:t>
            </w:r>
          </w:p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викона-ння</w:t>
            </w:r>
            <w:proofErr w:type="spellEnd"/>
          </w:p>
        </w:tc>
        <w:tc>
          <w:tcPr>
            <w:tcW w:w="475" w:type="pct"/>
            <w:vMerge w:val="restar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Джерела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фінансу-вання</w:t>
            </w:r>
            <w:proofErr w:type="spellEnd"/>
          </w:p>
        </w:tc>
        <w:tc>
          <w:tcPr>
            <w:tcW w:w="475" w:type="pc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Затвер-джено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обсяг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фінансу-</w:t>
            </w:r>
            <w:r w:rsidR="000B2E13"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вання</w:t>
            </w:r>
            <w:proofErr w:type="spellEnd"/>
            <w:r w:rsidR="000B2E13"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proofErr w:type="spellStart"/>
            <w:r w:rsidR="000B2E13" w:rsidRPr="00D246E0">
              <w:rPr>
                <w:rFonts w:ascii="Times New Roman" w:hAnsi="Times New Roman"/>
                <w:sz w:val="18"/>
                <w:szCs w:val="18"/>
                <w:lang w:val="uk-UA"/>
              </w:rPr>
              <w:t>тис.грн</w:t>
            </w:r>
            <w:proofErr w:type="spellEnd"/>
            <w:r w:rsidR="000B2E13" w:rsidRPr="00D246E0">
              <w:rPr>
                <w:rFonts w:ascii="Times New Roman" w:hAnsi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762" w:type="pct"/>
            <w:gridSpan w:val="2"/>
          </w:tcPr>
          <w:p w:rsidR="00F97FE3" w:rsidRPr="00D246E0" w:rsidRDefault="00F97FE3" w:rsidP="00F704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ar-S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Орієнтовні  щорічні обсяги фінансування, тис. грн.</w:t>
            </w:r>
          </w:p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59" w:type="pct"/>
            <w:vMerge w:val="restart"/>
          </w:tcPr>
          <w:p w:rsidR="00F97FE3" w:rsidRPr="00D246E0" w:rsidRDefault="00F97FE3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Очікувані результати</w:t>
            </w:r>
          </w:p>
        </w:tc>
      </w:tr>
      <w:tr w:rsidR="00D246E0" w:rsidRPr="00D246E0" w:rsidTr="004113B1">
        <w:trPr>
          <w:trHeight w:val="212"/>
        </w:trPr>
        <w:tc>
          <w:tcPr>
            <w:tcW w:w="247" w:type="pct"/>
            <w:vMerge/>
          </w:tcPr>
          <w:p w:rsidR="00F97FE3" w:rsidRPr="00D246E0" w:rsidRDefault="00F97FE3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41" w:type="pct"/>
            <w:vMerge/>
          </w:tcPr>
          <w:p w:rsidR="00F97FE3" w:rsidRPr="00D246E0" w:rsidRDefault="00F97FE3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665" w:type="pct"/>
            <w:vMerge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76" w:type="pct"/>
            <w:vMerge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75" w:type="pct"/>
            <w:vMerge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75" w:type="pc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2019</w:t>
            </w:r>
          </w:p>
        </w:tc>
        <w:tc>
          <w:tcPr>
            <w:tcW w:w="381" w:type="pc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2020</w:t>
            </w:r>
          </w:p>
        </w:tc>
        <w:tc>
          <w:tcPr>
            <w:tcW w:w="381" w:type="pc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2021</w:t>
            </w:r>
          </w:p>
        </w:tc>
        <w:tc>
          <w:tcPr>
            <w:tcW w:w="759" w:type="pct"/>
            <w:vMerge/>
          </w:tcPr>
          <w:p w:rsidR="00F97FE3" w:rsidRPr="00D246E0" w:rsidRDefault="00F97FE3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D246E0" w:rsidRPr="00D8711A" w:rsidTr="00D246E0">
        <w:trPr>
          <w:trHeight w:val="195"/>
        </w:trPr>
        <w:tc>
          <w:tcPr>
            <w:tcW w:w="247" w:type="pct"/>
          </w:tcPr>
          <w:p w:rsidR="00F97FE3" w:rsidRPr="00D246E0" w:rsidRDefault="00F97FE3" w:rsidP="00F70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141" w:type="pct"/>
          </w:tcPr>
          <w:p w:rsidR="00F97FE3" w:rsidRPr="00D246E0" w:rsidRDefault="00AA0B38" w:rsidP="00F704DA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Забезпечення лікарськими засобами та виробами медичного призначення, витратними матеріалами для надання медичної допомоги мешканцям громади</w:t>
            </w:r>
          </w:p>
        </w:tc>
        <w:tc>
          <w:tcPr>
            <w:tcW w:w="665" w:type="pc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F97FE3" w:rsidRPr="00D246E0" w:rsidRDefault="00F97FE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2019-202</w:t>
            </w:r>
            <w:r w:rsidR="00F704DA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475" w:type="pct"/>
          </w:tcPr>
          <w:p w:rsidR="00F97FE3" w:rsidRPr="00D246E0" w:rsidRDefault="00E9091E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F97FE3" w:rsidRPr="00D246E0" w:rsidRDefault="000B2E13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202,133</w:t>
            </w:r>
          </w:p>
        </w:tc>
        <w:tc>
          <w:tcPr>
            <w:tcW w:w="381" w:type="pct"/>
          </w:tcPr>
          <w:p w:rsidR="00F97FE3" w:rsidRPr="00D246E0" w:rsidRDefault="00963F9D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213,5</w:t>
            </w:r>
          </w:p>
        </w:tc>
        <w:tc>
          <w:tcPr>
            <w:tcW w:w="381" w:type="pct"/>
          </w:tcPr>
          <w:p w:rsidR="00F97FE3" w:rsidRPr="00D246E0" w:rsidRDefault="00963F9D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224,1</w:t>
            </w:r>
          </w:p>
        </w:tc>
        <w:tc>
          <w:tcPr>
            <w:tcW w:w="759" w:type="pct"/>
          </w:tcPr>
          <w:p w:rsidR="00F97FE3" w:rsidRPr="00D246E0" w:rsidRDefault="00AA0B38" w:rsidP="00F70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Підвищення рівня доступності населення до якісної медичної допомоги і своєчасного надання повноцінної медичної допомоги</w:t>
            </w:r>
          </w:p>
        </w:tc>
      </w:tr>
      <w:tr w:rsidR="00E9091E" w:rsidRPr="00D246E0" w:rsidTr="00D246E0">
        <w:trPr>
          <w:trHeight w:val="195"/>
        </w:trPr>
        <w:tc>
          <w:tcPr>
            <w:tcW w:w="247" w:type="pct"/>
          </w:tcPr>
          <w:p w:rsidR="00E9091E" w:rsidRPr="00D246E0" w:rsidRDefault="00E9091E" w:rsidP="00E90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141" w:type="pct"/>
          </w:tcPr>
          <w:p w:rsidR="00E9091E" w:rsidRPr="00D246E0" w:rsidRDefault="00E9091E" w:rsidP="00E9091E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Проведення вакцинації,</w:t>
            </w:r>
          </w:p>
          <w:p w:rsidR="00E9091E" w:rsidRPr="00D246E0" w:rsidRDefault="00E9091E" w:rsidP="00E9091E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з них:</w:t>
            </w:r>
          </w:p>
          <w:p w:rsidR="00E9091E" w:rsidRPr="00D246E0" w:rsidRDefault="00E9091E" w:rsidP="00E9091E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- проти сказу </w:t>
            </w:r>
          </w:p>
          <w:p w:rsidR="00E9091E" w:rsidRPr="00D246E0" w:rsidRDefault="00E9091E" w:rsidP="00E9091E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 проти грипу</w:t>
            </w:r>
          </w:p>
        </w:tc>
        <w:tc>
          <w:tcPr>
            <w:tcW w:w="665" w:type="pct"/>
          </w:tcPr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E9091E" w:rsidRDefault="00E9091E" w:rsidP="00E9091E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78,000</w:t>
            </w: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26,250</w:t>
            </w:r>
          </w:p>
        </w:tc>
        <w:tc>
          <w:tcPr>
            <w:tcW w:w="381" w:type="pct"/>
          </w:tcPr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82,4</w:t>
            </w: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27,7</w:t>
            </w:r>
          </w:p>
        </w:tc>
        <w:tc>
          <w:tcPr>
            <w:tcW w:w="381" w:type="pct"/>
          </w:tcPr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86,5</w:t>
            </w:r>
          </w:p>
          <w:p w:rsidR="00E9091E" w:rsidRPr="00D246E0" w:rsidRDefault="00E9091E" w:rsidP="00E90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29,1</w:t>
            </w:r>
          </w:p>
        </w:tc>
        <w:tc>
          <w:tcPr>
            <w:tcW w:w="759" w:type="pct"/>
          </w:tcPr>
          <w:p w:rsidR="00E9091E" w:rsidRPr="00D246E0" w:rsidRDefault="00E9091E" w:rsidP="00E909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Попередження розповсюджу-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захворю-ваності</w:t>
            </w:r>
            <w:proofErr w:type="spellEnd"/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Забезпечення знеболення онкохворих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60,000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63,4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66,5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Покращення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умов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життя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хворих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Проведення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туберкулінодіагностики</w:t>
            </w:r>
            <w:proofErr w:type="spellEnd"/>
          </w:p>
        </w:tc>
        <w:tc>
          <w:tcPr>
            <w:tcW w:w="66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68,000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71,8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75,4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Своєчасне виявлення захворюваності на туберкульоз.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Покращення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медичної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допомоги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D33209" w:rsidRPr="00D8711A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Закупівля технічних та інших засобів,</w:t>
            </w:r>
          </w:p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З них:</w:t>
            </w:r>
          </w:p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калоприймачі</w:t>
            </w:r>
            <w:proofErr w:type="spellEnd"/>
          </w:p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 підгузки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30,350</w:t>
            </w: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98,760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32,0</w:t>
            </w: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104,3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33,7</w:t>
            </w: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109,5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забезпечення технічними засобами інвалідів та дітей-інвалідів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Придбання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реативів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та витратних матеріалів та виробів медичного призначення для проведення біохімічних досліджень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101,817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107,5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112,9</w:t>
            </w:r>
          </w:p>
        </w:tc>
        <w:tc>
          <w:tcPr>
            <w:tcW w:w="759" w:type="pct"/>
          </w:tcPr>
          <w:p w:rsidR="00AB706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Покращення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медичної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допомоги</w:t>
            </w:r>
            <w:proofErr w:type="spellEnd"/>
          </w:p>
          <w:p w:rsidR="00AB7060" w:rsidRDefault="00AB7060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AB7060" w:rsidRDefault="00AB7060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233F2A" w:rsidRDefault="00233F2A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Оплата досліджень:</w:t>
            </w:r>
          </w:p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 гінекологічних;</w:t>
            </w:r>
          </w:p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 отоларингологічних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70,000</w:t>
            </w: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3,500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73,9</w:t>
            </w: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3,7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77,6</w:t>
            </w:r>
          </w:p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3,9</w:t>
            </w:r>
          </w:p>
        </w:tc>
        <w:tc>
          <w:tcPr>
            <w:tcW w:w="759" w:type="pct"/>
          </w:tcPr>
          <w:p w:rsidR="00AB7060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Покращення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медичної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допомоги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1141" w:type="pct"/>
          </w:tcPr>
          <w:p w:rsidR="00D33209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Інші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виплати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населенню</w:t>
            </w:r>
            <w:proofErr w:type="spellEnd"/>
            <w:r w:rsidR="00AB706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, з них:</w:t>
            </w:r>
          </w:p>
          <w:p w:rsidR="00AB7060" w:rsidRDefault="00AB7060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-власні кошти бюджету ОТГ;</w:t>
            </w:r>
          </w:p>
          <w:p w:rsidR="00AB7060" w:rsidRPr="00AB7060" w:rsidRDefault="00AB7060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- трансферти з держбюджету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  <w:r w:rsidR="00AB7060">
              <w:rPr>
                <w:rFonts w:ascii="Times New Roman" w:hAnsi="Times New Roman"/>
                <w:sz w:val="18"/>
                <w:szCs w:val="18"/>
                <w:lang w:val="uk-UA"/>
              </w:rPr>
              <w:t>, виконком міської ради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600,000</w:t>
            </w:r>
          </w:p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Pr="00D246E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114,801</w:t>
            </w:r>
          </w:p>
        </w:tc>
        <w:tc>
          <w:tcPr>
            <w:tcW w:w="381" w:type="pct"/>
          </w:tcPr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633,6</w:t>
            </w:r>
          </w:p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Pr="00D246E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121,1</w:t>
            </w:r>
          </w:p>
        </w:tc>
        <w:tc>
          <w:tcPr>
            <w:tcW w:w="381" w:type="pct"/>
          </w:tcPr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D33209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665,3</w:t>
            </w:r>
          </w:p>
          <w:p w:rsidR="00AB706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Pr="00D246E0" w:rsidRDefault="00AB7060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127,3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З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абезпечення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лікарськими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засобами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пільгових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категорій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населення</w:t>
            </w:r>
            <w:proofErr w:type="spellEnd"/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Придбання предметів, матеріалів, господарського інструменту, інвентарю  що не відноситься до основних засобів (бланки, паливо мастильні матеріали, періодичні видання, канцелярські товари)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341,718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360,8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378,9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Покращення умов роботи медичним працівникам амбулаторій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Послуги з охорони </w:t>
            </w:r>
          </w:p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та техобслуговування медичного та іншого обладнання, підготовка медичних закладів до опалювального сезону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256,300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270,7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284,2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Створення умов для своєчасного надання медичної допомоги та покращення діяльності лікувальних закладів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Продукти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харчування</w:t>
            </w:r>
            <w:proofErr w:type="spellEnd"/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17,024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18,0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18,9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Забезпечення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молочними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сумішами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 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дітей</w:t>
            </w:r>
            <w:proofErr w:type="spellEnd"/>
            <w:proofErr w:type="gram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1-го року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життя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</w:t>
            </w: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народжених ВІЛ-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інфіко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ваними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матерями</w:t>
            </w: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Комунальні послуги та енергоносії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1726,670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1862,7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1970,4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Створення та підтримання комфортних умов для перебування пацієнтів і громадян у лікувальних закладах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Заробітна плата, стимулюючі виплати, премії  та диференціація медичним працівникам</w:t>
            </w:r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4481,259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4845,2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5171,7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Покращення ефективності, своєчасності і якості медичної допомоги</w:t>
            </w: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Виплата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пенсій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і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допомоги</w:t>
            </w:r>
            <w:proofErr w:type="spellEnd"/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90,000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95,0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99,8</w:t>
            </w:r>
          </w:p>
        </w:tc>
        <w:tc>
          <w:tcPr>
            <w:tcW w:w="759" w:type="pct"/>
          </w:tcPr>
          <w:p w:rsidR="00D33209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Забезпечення виплати пенсії відповідно до списку 1 та 2</w:t>
            </w:r>
          </w:p>
          <w:p w:rsidR="00AB7060" w:rsidRDefault="00AB7060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Default="00AB7060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Default="00AB7060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AB7060" w:rsidRPr="00D246E0" w:rsidRDefault="00AB7060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Інші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поточні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видатки</w:t>
            </w:r>
            <w:proofErr w:type="spellEnd"/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3,400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3,6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3,8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підвищення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ефективності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роботи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закладу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охорони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здоров’я</w:t>
            </w:r>
            <w:proofErr w:type="spellEnd"/>
          </w:p>
        </w:tc>
      </w:tr>
      <w:tr w:rsidR="00D33209" w:rsidRPr="00D246E0" w:rsidTr="00D246E0">
        <w:trPr>
          <w:trHeight w:val="195"/>
        </w:trPr>
        <w:tc>
          <w:tcPr>
            <w:tcW w:w="247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16</w:t>
            </w:r>
          </w:p>
        </w:tc>
        <w:tc>
          <w:tcPr>
            <w:tcW w:w="1141" w:type="pct"/>
          </w:tcPr>
          <w:p w:rsidR="00D33209" w:rsidRPr="00D246E0" w:rsidRDefault="00D33209" w:rsidP="00D33209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Видатки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на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відрядження</w:t>
            </w:r>
            <w:proofErr w:type="spellEnd"/>
          </w:p>
        </w:tc>
        <w:tc>
          <w:tcPr>
            <w:tcW w:w="665" w:type="pct"/>
          </w:tcPr>
          <w:p w:rsidR="00D33209" w:rsidRPr="00D246E0" w:rsidRDefault="00D33209" w:rsidP="00D332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КНП «Зелено-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дольський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центр ПМСД» ЗМР</w:t>
            </w:r>
          </w:p>
        </w:tc>
        <w:tc>
          <w:tcPr>
            <w:tcW w:w="476" w:type="pct"/>
          </w:tcPr>
          <w:p w:rsidR="00D33209" w:rsidRDefault="00D33209" w:rsidP="00D33209">
            <w:pPr>
              <w:jc w:val="center"/>
            </w:pPr>
            <w:r w:rsidRPr="006B44DE">
              <w:rPr>
                <w:rFonts w:ascii="Times New Roman" w:hAnsi="Times New Roman"/>
                <w:sz w:val="18"/>
                <w:szCs w:val="18"/>
                <w:lang w:val="uk-UA"/>
              </w:rPr>
              <w:t>2019-2021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об’єдна-ної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/>
              </w:rPr>
              <w:t>терито-ріальної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громади</w:t>
            </w:r>
          </w:p>
        </w:tc>
        <w:tc>
          <w:tcPr>
            <w:tcW w:w="475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18,120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19,1</w:t>
            </w:r>
          </w:p>
        </w:tc>
        <w:tc>
          <w:tcPr>
            <w:tcW w:w="381" w:type="pct"/>
          </w:tcPr>
          <w:p w:rsidR="00D33209" w:rsidRPr="00D246E0" w:rsidRDefault="00D33209" w:rsidP="00D332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lang w:val="uk-UA"/>
              </w:rPr>
              <w:t>20,1</w:t>
            </w:r>
          </w:p>
        </w:tc>
        <w:tc>
          <w:tcPr>
            <w:tcW w:w="759" w:type="pct"/>
          </w:tcPr>
          <w:p w:rsidR="00D33209" w:rsidRPr="00D246E0" w:rsidRDefault="00D33209" w:rsidP="00D332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підвищення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ефективності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роботи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закладу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охорони</w:t>
            </w:r>
            <w:proofErr w:type="spellEnd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здоров’я</w:t>
            </w:r>
            <w:proofErr w:type="spellEnd"/>
          </w:p>
        </w:tc>
      </w:tr>
      <w:tr w:rsidR="00D246E0" w:rsidRPr="00D246E0" w:rsidTr="00D246E0">
        <w:trPr>
          <w:trHeight w:val="195"/>
        </w:trPr>
        <w:tc>
          <w:tcPr>
            <w:tcW w:w="247" w:type="pct"/>
          </w:tcPr>
          <w:p w:rsidR="009F0754" w:rsidRPr="00D246E0" w:rsidRDefault="009F0754" w:rsidP="00F70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41" w:type="pct"/>
          </w:tcPr>
          <w:p w:rsidR="009F0754" w:rsidRPr="00D246E0" w:rsidRDefault="009F0754" w:rsidP="00F704DA">
            <w:pPr>
              <w:tabs>
                <w:tab w:val="num" w:pos="993"/>
                <w:tab w:val="num" w:pos="144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246E0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665" w:type="pct"/>
          </w:tcPr>
          <w:p w:rsidR="009F0754" w:rsidRPr="00D246E0" w:rsidRDefault="009F0754" w:rsidP="00F704DA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76" w:type="pct"/>
          </w:tcPr>
          <w:p w:rsidR="009F0754" w:rsidRPr="00D246E0" w:rsidRDefault="009F0754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75" w:type="pct"/>
          </w:tcPr>
          <w:p w:rsidR="009F0754" w:rsidRPr="00D246E0" w:rsidRDefault="009F0754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475" w:type="pct"/>
          </w:tcPr>
          <w:p w:rsidR="009F0754" w:rsidRPr="00D246E0" w:rsidRDefault="00AB7060" w:rsidP="00F704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8388,102</w:t>
            </w:r>
          </w:p>
        </w:tc>
        <w:tc>
          <w:tcPr>
            <w:tcW w:w="381" w:type="pct"/>
          </w:tcPr>
          <w:p w:rsidR="009F0754" w:rsidRPr="00D246E0" w:rsidRDefault="00AB7060" w:rsidP="005A40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9010,0</w:t>
            </w:r>
          </w:p>
        </w:tc>
        <w:tc>
          <w:tcPr>
            <w:tcW w:w="381" w:type="pct"/>
          </w:tcPr>
          <w:p w:rsidR="009F0754" w:rsidRPr="00D246E0" w:rsidRDefault="00AB7060" w:rsidP="00C35A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9559,6</w:t>
            </w:r>
          </w:p>
        </w:tc>
        <w:tc>
          <w:tcPr>
            <w:tcW w:w="759" w:type="pct"/>
          </w:tcPr>
          <w:p w:rsidR="009F0754" w:rsidRPr="00D246E0" w:rsidRDefault="009F0754" w:rsidP="00F70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</w:tbl>
    <w:p w:rsidR="00AB7060" w:rsidRDefault="00AB7060" w:rsidP="00AB70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AB70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AB70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AB70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Секретар ради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О.М.Ярошенко</w:t>
      </w:r>
      <w:proofErr w:type="spellEnd"/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CB2" w:rsidRDefault="00772CB2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33F2A" w:rsidRDefault="00233F2A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33F2A" w:rsidRDefault="00233F2A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33F2A" w:rsidRDefault="00233F2A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33F2A" w:rsidRDefault="00233F2A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33F2A" w:rsidRDefault="00233F2A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33F2A" w:rsidRDefault="00233F2A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AB7060" w:rsidRDefault="00AB7060" w:rsidP="00F704DA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704DA" w:rsidRDefault="00F704DA" w:rsidP="00AB7060">
      <w:pPr>
        <w:spacing w:after="0" w:line="240" w:lineRule="auto"/>
        <w:ind w:left="4956" w:firstLine="6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47726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</w:t>
      </w:r>
    </w:p>
    <w:p w:rsidR="00F704DA" w:rsidRDefault="00F704DA" w:rsidP="00AB7060">
      <w:pPr>
        <w:spacing w:after="0" w:line="240" w:lineRule="auto"/>
        <w:ind w:left="4956" w:firstLine="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347726">
        <w:rPr>
          <w:rFonts w:ascii="Times New Roman" w:eastAsia="Times New Roman" w:hAnsi="Times New Roman"/>
          <w:sz w:val="24"/>
          <w:szCs w:val="24"/>
          <w:lang w:val="uk-UA" w:eastAsia="ru-RU"/>
        </w:rPr>
        <w:t>о Програми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розвитку первинної медико-санітарної допомоги </w:t>
      </w:r>
      <w:proofErr w:type="spellStart"/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Зеленодольської</w:t>
      </w:r>
      <w:proofErr w:type="spellEnd"/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міської об’єднаної територіальної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>на 201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9-2021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роки</w:t>
      </w:r>
      <w:r w:rsidRPr="00A4323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4113B1" w:rsidRDefault="004113B1" w:rsidP="0084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AB7060" w:rsidRPr="00AB7060" w:rsidRDefault="00844708" w:rsidP="00AB7060">
      <w:pPr>
        <w:spacing w:after="0" w:line="240" w:lineRule="auto"/>
        <w:ind w:firstLine="6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B7060">
        <w:rPr>
          <w:rFonts w:ascii="Times New Roman" w:hAnsi="Times New Roman"/>
          <w:sz w:val="28"/>
          <w:szCs w:val="28"/>
          <w:lang w:val="uk-UA" w:eastAsia="ar-SA"/>
        </w:rPr>
        <w:t>Результативні показники</w:t>
      </w:r>
      <w:r w:rsidR="00AB7060" w:rsidRPr="00AB7060">
        <w:rPr>
          <w:rFonts w:ascii="Times New Roman" w:hAnsi="Times New Roman"/>
          <w:sz w:val="28"/>
          <w:szCs w:val="28"/>
          <w:lang w:val="uk-UA" w:eastAsia="ar-SA"/>
        </w:rPr>
        <w:t xml:space="preserve"> Програми </w:t>
      </w:r>
      <w:r w:rsidR="00AB7060" w:rsidRPr="00AB70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первинної медико-санітарної допомоги </w:t>
      </w:r>
      <w:proofErr w:type="spellStart"/>
      <w:r w:rsidR="00AB7060" w:rsidRPr="00AB7060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="00AB7060" w:rsidRPr="00AB706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об’єднаної територіальної громади на 2019-2021 роки</w:t>
      </w:r>
    </w:p>
    <w:p w:rsidR="00844708" w:rsidRPr="00844708" w:rsidRDefault="00844708" w:rsidP="00844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tbl>
      <w:tblPr>
        <w:tblStyle w:val="22"/>
        <w:tblW w:w="990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1080"/>
        <w:gridCol w:w="1080"/>
        <w:gridCol w:w="1080"/>
        <w:gridCol w:w="1080"/>
        <w:gridCol w:w="1080"/>
      </w:tblGrid>
      <w:tr w:rsidR="00081B5C" w:rsidRPr="00317BA3" w:rsidTr="00EE2B16">
        <w:trPr>
          <w:trHeight w:val="657"/>
        </w:trPr>
        <w:tc>
          <w:tcPr>
            <w:tcW w:w="3652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ind w:left="720"/>
              <w:contextualSpacing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851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2018 рік (план)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2018 рік (факт 11міс.)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Відсоток виконання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2019 рік (</w:t>
            </w:r>
            <w:r w:rsidR="009105E7" w:rsidRPr="00317BA3">
              <w:rPr>
                <w:sz w:val="18"/>
                <w:szCs w:val="18"/>
                <w:lang w:val="uk-UA"/>
              </w:rPr>
              <w:t>проект</w:t>
            </w:r>
            <w:r w:rsidRPr="00317BA3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2020 рік (прогноз)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2021 рік (прогноз)</w:t>
            </w:r>
          </w:p>
        </w:tc>
      </w:tr>
      <w:tr w:rsidR="00081B5C" w:rsidRPr="00317BA3" w:rsidTr="00EE2B16">
        <w:tc>
          <w:tcPr>
            <w:tcW w:w="3652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Кількість пролікованих хворих, осіб</w:t>
            </w:r>
          </w:p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З них:</w:t>
            </w:r>
          </w:p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-лікарями, які надають первинну допомогу</w:t>
            </w:r>
          </w:p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-лікарями, які надають спеціалізовану допомогу</w:t>
            </w:r>
          </w:p>
        </w:tc>
        <w:tc>
          <w:tcPr>
            <w:tcW w:w="851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59188</w:t>
            </w: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39063</w:t>
            </w: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20125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44868</w:t>
            </w: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35388</w:t>
            </w: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9480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75,8%</w:t>
            </w: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90,6%</w:t>
            </w:r>
          </w:p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47,1%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78938</w:t>
            </w: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40625</w:t>
            </w: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38313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79253</w:t>
            </w: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40788</w:t>
            </w: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38465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79569</w:t>
            </w: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40950</w:t>
            </w:r>
          </w:p>
          <w:p w:rsidR="009105E7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38619</w:t>
            </w:r>
          </w:p>
        </w:tc>
      </w:tr>
      <w:tr w:rsidR="00081B5C" w:rsidRPr="00317BA3" w:rsidTr="00EE2B16">
        <w:tc>
          <w:tcPr>
            <w:tcW w:w="3652" w:type="dxa"/>
            <w:shd w:val="clear" w:color="auto" w:fill="FFFFFF"/>
          </w:tcPr>
          <w:p w:rsidR="00081B5C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Кількість громадян охоплених профілактичними щепленнями, осіб</w:t>
            </w:r>
          </w:p>
          <w:p w:rsidR="001D1D58" w:rsidRPr="00317BA3" w:rsidRDefault="001D1D58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 них за рахунок коштів місцевого бюджету</w:t>
            </w:r>
          </w:p>
        </w:tc>
        <w:tc>
          <w:tcPr>
            <w:tcW w:w="851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2389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2038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85,3%</w:t>
            </w:r>
          </w:p>
        </w:tc>
        <w:tc>
          <w:tcPr>
            <w:tcW w:w="1080" w:type="dxa"/>
            <w:shd w:val="clear" w:color="auto" w:fill="FFFFFF"/>
          </w:tcPr>
          <w:p w:rsidR="00081B5C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2624</w:t>
            </w:r>
          </w:p>
          <w:p w:rsidR="001D1D58" w:rsidRDefault="001D1D58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1D1D58" w:rsidRPr="00317BA3" w:rsidRDefault="001D1D58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1200</w:t>
            </w:r>
          </w:p>
        </w:tc>
        <w:tc>
          <w:tcPr>
            <w:tcW w:w="1080" w:type="dxa"/>
            <w:shd w:val="clear" w:color="auto" w:fill="FFFFFF"/>
          </w:tcPr>
          <w:p w:rsidR="00081B5C" w:rsidRDefault="00BA4CBA" w:rsidP="00BA4CBA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2624</w:t>
            </w:r>
          </w:p>
          <w:p w:rsidR="001D1D58" w:rsidRDefault="001D1D58" w:rsidP="00BA4CBA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1D1D58" w:rsidRPr="00317BA3" w:rsidRDefault="001D1D58" w:rsidP="00BA4CBA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1200</w:t>
            </w:r>
          </w:p>
        </w:tc>
        <w:tc>
          <w:tcPr>
            <w:tcW w:w="1080" w:type="dxa"/>
            <w:shd w:val="clear" w:color="auto" w:fill="FFFFFF"/>
          </w:tcPr>
          <w:p w:rsidR="00081B5C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2624</w:t>
            </w:r>
          </w:p>
          <w:p w:rsidR="001D1D58" w:rsidRDefault="001D1D58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</w:p>
          <w:p w:rsidR="001D1D58" w:rsidRPr="00317BA3" w:rsidRDefault="001D1D58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1200</w:t>
            </w:r>
          </w:p>
        </w:tc>
      </w:tr>
      <w:tr w:rsidR="009105E7" w:rsidRPr="00317BA3" w:rsidTr="00EE2B16">
        <w:trPr>
          <w:trHeight w:val="509"/>
        </w:trPr>
        <w:tc>
          <w:tcPr>
            <w:tcW w:w="3652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 xml:space="preserve">Обсяг фінансування </w:t>
            </w:r>
            <w:r w:rsidR="004113B1">
              <w:rPr>
                <w:sz w:val="18"/>
                <w:szCs w:val="18"/>
                <w:lang w:val="uk-UA"/>
              </w:rPr>
              <w:t>за рахунок коштів місцевого бюджету</w:t>
            </w:r>
            <w:r w:rsidR="004113B1" w:rsidRPr="00317BA3">
              <w:rPr>
                <w:sz w:val="18"/>
                <w:szCs w:val="18"/>
                <w:lang w:val="uk-UA"/>
              </w:rPr>
              <w:t xml:space="preserve"> </w:t>
            </w:r>
            <w:r w:rsidRPr="00317BA3">
              <w:rPr>
                <w:sz w:val="18"/>
                <w:szCs w:val="18"/>
                <w:lang w:val="uk-UA"/>
              </w:rPr>
              <w:t xml:space="preserve">(закупівля туберкуліну), </w:t>
            </w:r>
            <w:proofErr w:type="spellStart"/>
            <w:r w:rsidRPr="00317BA3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317BA3">
              <w:rPr>
                <w:sz w:val="18"/>
                <w:szCs w:val="18"/>
                <w:lang w:val="uk-UA"/>
              </w:rPr>
              <w:t>..</w:t>
            </w:r>
          </w:p>
        </w:tc>
        <w:tc>
          <w:tcPr>
            <w:tcW w:w="851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88,0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0C4789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115,42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0C4789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131,2%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68,0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71,8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75,4</w:t>
            </w:r>
          </w:p>
        </w:tc>
      </w:tr>
      <w:tr w:rsidR="00081B5C" w:rsidRPr="00317BA3" w:rsidTr="00EE2B16">
        <w:trPr>
          <w:trHeight w:val="615"/>
        </w:trPr>
        <w:tc>
          <w:tcPr>
            <w:tcW w:w="3652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 xml:space="preserve">Кількість </w:t>
            </w:r>
            <w:proofErr w:type="spellStart"/>
            <w:r w:rsidRPr="00317BA3">
              <w:rPr>
                <w:sz w:val="18"/>
                <w:szCs w:val="18"/>
                <w:lang w:val="uk-UA"/>
              </w:rPr>
              <w:t>виявленних</w:t>
            </w:r>
            <w:proofErr w:type="spellEnd"/>
            <w:r w:rsidRPr="00317BA3">
              <w:rPr>
                <w:sz w:val="18"/>
                <w:szCs w:val="18"/>
                <w:lang w:val="uk-UA"/>
              </w:rPr>
              <w:t xml:space="preserve"> візуальних форм </w:t>
            </w:r>
            <w:proofErr w:type="spellStart"/>
            <w:r w:rsidRPr="00317BA3">
              <w:rPr>
                <w:sz w:val="18"/>
                <w:szCs w:val="18"/>
                <w:lang w:val="uk-UA"/>
              </w:rPr>
              <w:t>онкозахворювань</w:t>
            </w:r>
            <w:proofErr w:type="spellEnd"/>
            <w:r w:rsidRPr="00317BA3">
              <w:rPr>
                <w:sz w:val="18"/>
                <w:szCs w:val="18"/>
                <w:lang w:val="uk-UA"/>
              </w:rPr>
              <w:t xml:space="preserve"> в занедбаних стадіях, осіб</w:t>
            </w:r>
          </w:p>
        </w:tc>
        <w:tc>
          <w:tcPr>
            <w:tcW w:w="851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1200%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8</w:t>
            </w:r>
          </w:p>
        </w:tc>
      </w:tr>
      <w:tr w:rsidR="00081B5C" w:rsidRPr="00317BA3" w:rsidTr="00EE2B16">
        <w:tc>
          <w:tcPr>
            <w:tcW w:w="3652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Кількість виявлених випадків туберкульозу в занедбаних стадіях, осіб</w:t>
            </w:r>
          </w:p>
        </w:tc>
        <w:tc>
          <w:tcPr>
            <w:tcW w:w="851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9105E7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</w:t>
            </w:r>
          </w:p>
        </w:tc>
      </w:tr>
      <w:tr w:rsidR="00081B5C" w:rsidRPr="00317BA3" w:rsidTr="00EE2B16">
        <w:tc>
          <w:tcPr>
            <w:tcW w:w="3652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 xml:space="preserve">Кількість інвалідів та дітей-інвалідів, яким придбано </w:t>
            </w:r>
            <w:proofErr w:type="spellStart"/>
            <w:r w:rsidRPr="00317BA3">
              <w:rPr>
                <w:sz w:val="18"/>
                <w:szCs w:val="18"/>
                <w:lang w:val="uk-UA"/>
              </w:rPr>
              <w:t>калоприймачі</w:t>
            </w:r>
            <w:proofErr w:type="spellEnd"/>
            <w:r w:rsidRPr="00317BA3">
              <w:rPr>
                <w:sz w:val="18"/>
                <w:szCs w:val="18"/>
                <w:lang w:val="uk-UA"/>
              </w:rPr>
              <w:t>, осіб</w:t>
            </w:r>
          </w:p>
        </w:tc>
        <w:tc>
          <w:tcPr>
            <w:tcW w:w="851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100%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</w:t>
            </w:r>
          </w:p>
        </w:tc>
      </w:tr>
      <w:tr w:rsidR="009105E7" w:rsidRPr="00317BA3" w:rsidTr="00EE2B16">
        <w:trPr>
          <w:trHeight w:val="570"/>
        </w:trPr>
        <w:tc>
          <w:tcPr>
            <w:tcW w:w="3652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 xml:space="preserve">Обсяг фінансування (закупівля </w:t>
            </w:r>
            <w:proofErr w:type="spellStart"/>
            <w:r w:rsidRPr="00317BA3">
              <w:rPr>
                <w:sz w:val="18"/>
                <w:szCs w:val="18"/>
                <w:lang w:val="uk-UA"/>
              </w:rPr>
              <w:t>калоприймачів</w:t>
            </w:r>
            <w:proofErr w:type="spellEnd"/>
            <w:r w:rsidRPr="00317BA3">
              <w:rPr>
                <w:sz w:val="18"/>
                <w:szCs w:val="18"/>
                <w:lang w:val="uk-UA"/>
              </w:rPr>
              <w:t xml:space="preserve">), </w:t>
            </w:r>
            <w:proofErr w:type="spellStart"/>
            <w:r w:rsidRPr="00317BA3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317BA3">
              <w:rPr>
                <w:sz w:val="18"/>
                <w:szCs w:val="18"/>
                <w:lang w:val="uk-UA"/>
              </w:rPr>
              <w:t>..</w:t>
            </w:r>
          </w:p>
        </w:tc>
        <w:tc>
          <w:tcPr>
            <w:tcW w:w="851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31,26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3A67F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29,67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3A67F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94,9%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30,35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32,0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33,7</w:t>
            </w:r>
          </w:p>
        </w:tc>
      </w:tr>
      <w:tr w:rsidR="00081B5C" w:rsidRPr="00317BA3" w:rsidTr="00EE2B16">
        <w:trPr>
          <w:trHeight w:val="522"/>
        </w:trPr>
        <w:tc>
          <w:tcPr>
            <w:tcW w:w="3652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Кількість інвалідів та дітей-інвалідів, яким придбано підгузки, осіб</w:t>
            </w:r>
          </w:p>
        </w:tc>
        <w:tc>
          <w:tcPr>
            <w:tcW w:w="851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C4789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C4789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111,1%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</w:p>
        </w:tc>
      </w:tr>
      <w:tr w:rsidR="009105E7" w:rsidRPr="00317BA3" w:rsidTr="00EE2B16">
        <w:tc>
          <w:tcPr>
            <w:tcW w:w="3652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Кількість інвалідів та дітей-інвалідів, яким придбано підгузки, осіб</w:t>
            </w:r>
          </w:p>
        </w:tc>
        <w:tc>
          <w:tcPr>
            <w:tcW w:w="851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59,08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3A67F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58,99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3A67F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99,8%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98,76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104,3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BA4CBA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109,5</w:t>
            </w:r>
          </w:p>
        </w:tc>
      </w:tr>
      <w:tr w:rsidR="00081B5C" w:rsidRPr="00317BA3" w:rsidTr="00EE2B16">
        <w:tc>
          <w:tcPr>
            <w:tcW w:w="3652" w:type="dxa"/>
            <w:shd w:val="clear" w:color="auto" w:fill="FFFFFF"/>
          </w:tcPr>
          <w:p w:rsidR="00081B5C" w:rsidRPr="00317BA3" w:rsidRDefault="00081B5C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Кількість дітей першого року життя, народжених ВІЛ-інфікованими матерями, яким придбано адаптовані молочні суміші, осіб</w:t>
            </w:r>
          </w:p>
        </w:tc>
        <w:tc>
          <w:tcPr>
            <w:tcW w:w="851" w:type="dxa"/>
            <w:shd w:val="clear" w:color="auto" w:fill="FFFFFF"/>
          </w:tcPr>
          <w:p w:rsidR="00081B5C" w:rsidRPr="00317BA3" w:rsidRDefault="004E16E2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C4789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0C4789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44,4%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4E16E2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4E16E2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081B5C" w:rsidRPr="00317BA3" w:rsidRDefault="004E16E2" w:rsidP="000C4789">
            <w:pPr>
              <w:spacing w:after="0" w:line="240" w:lineRule="auto"/>
              <w:jc w:val="center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2</w:t>
            </w:r>
          </w:p>
        </w:tc>
      </w:tr>
      <w:tr w:rsidR="009105E7" w:rsidRPr="00317BA3" w:rsidTr="00EE2B16">
        <w:tc>
          <w:tcPr>
            <w:tcW w:w="3652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Обсяг фінансування (закупівля молочних сумішей), тис. грн..</w:t>
            </w:r>
          </w:p>
        </w:tc>
        <w:tc>
          <w:tcPr>
            <w:tcW w:w="851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38,19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22,79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80,8%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17,024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18,0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18,9</w:t>
            </w:r>
          </w:p>
        </w:tc>
      </w:tr>
      <w:tr w:rsidR="009105E7" w:rsidRPr="00317BA3" w:rsidTr="00EE2B16">
        <w:tc>
          <w:tcPr>
            <w:tcW w:w="3652" w:type="dxa"/>
            <w:shd w:val="clear" w:color="auto" w:fill="FFFFFF"/>
          </w:tcPr>
          <w:p w:rsidR="009105E7" w:rsidRPr="00317BA3" w:rsidRDefault="009105E7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 xml:space="preserve">Кількість виписаних рецептів на лікарські засоби відповідно до </w:t>
            </w:r>
            <w:r w:rsidR="00D21783">
              <w:rPr>
                <w:sz w:val="18"/>
                <w:szCs w:val="18"/>
                <w:lang w:val="uk-UA"/>
              </w:rPr>
              <w:t>п</w:t>
            </w:r>
            <w:r w:rsidRPr="00317BA3">
              <w:rPr>
                <w:sz w:val="18"/>
                <w:szCs w:val="18"/>
                <w:lang w:val="uk-UA"/>
              </w:rPr>
              <w:t>останови  КМУ від 17.08.1998</w:t>
            </w:r>
            <w:r w:rsidR="00D21783">
              <w:rPr>
                <w:sz w:val="18"/>
                <w:szCs w:val="18"/>
                <w:lang w:val="uk-UA"/>
              </w:rPr>
              <w:t xml:space="preserve"> </w:t>
            </w:r>
            <w:r w:rsidRPr="00317BA3">
              <w:rPr>
                <w:sz w:val="18"/>
                <w:szCs w:val="18"/>
                <w:lang w:val="uk-UA"/>
              </w:rPr>
              <w:t>р. №1303, шт.</w:t>
            </w:r>
          </w:p>
        </w:tc>
        <w:tc>
          <w:tcPr>
            <w:tcW w:w="851" w:type="dxa"/>
            <w:shd w:val="clear" w:color="auto" w:fill="FFFFFF"/>
          </w:tcPr>
          <w:p w:rsidR="009105E7" w:rsidRPr="00317BA3" w:rsidRDefault="009105E7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2700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1986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73,6%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2400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2400</w:t>
            </w:r>
          </w:p>
        </w:tc>
        <w:tc>
          <w:tcPr>
            <w:tcW w:w="1080" w:type="dxa"/>
            <w:shd w:val="clear" w:color="auto" w:fill="FFFFFF"/>
          </w:tcPr>
          <w:p w:rsidR="009105E7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2400</w:t>
            </w:r>
          </w:p>
        </w:tc>
      </w:tr>
      <w:tr w:rsidR="004E16E2" w:rsidRPr="00317BA3" w:rsidTr="00EE2B16">
        <w:tc>
          <w:tcPr>
            <w:tcW w:w="3652" w:type="dxa"/>
            <w:shd w:val="clear" w:color="auto" w:fill="FFFFFF"/>
          </w:tcPr>
          <w:p w:rsidR="004E16E2" w:rsidRPr="00317BA3" w:rsidRDefault="004E16E2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 xml:space="preserve">Обсяг фінансування (відшкодування вартості лікарських засобів), </w:t>
            </w:r>
            <w:proofErr w:type="spellStart"/>
            <w:r w:rsidRPr="00317BA3"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317BA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4E16E2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575,0</w:t>
            </w:r>
          </w:p>
        </w:tc>
        <w:tc>
          <w:tcPr>
            <w:tcW w:w="1080" w:type="dxa"/>
            <w:shd w:val="clear" w:color="auto" w:fill="FFFFFF"/>
          </w:tcPr>
          <w:p w:rsidR="004E16E2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458,4</w:t>
            </w:r>
          </w:p>
        </w:tc>
        <w:tc>
          <w:tcPr>
            <w:tcW w:w="1080" w:type="dxa"/>
            <w:shd w:val="clear" w:color="auto" w:fill="FFFFFF"/>
          </w:tcPr>
          <w:p w:rsidR="004E16E2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79,7%</w:t>
            </w:r>
          </w:p>
        </w:tc>
        <w:tc>
          <w:tcPr>
            <w:tcW w:w="1080" w:type="dxa"/>
            <w:shd w:val="clear" w:color="auto" w:fill="FFFFFF"/>
          </w:tcPr>
          <w:p w:rsidR="004E16E2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080" w:type="dxa"/>
            <w:shd w:val="clear" w:color="auto" w:fill="FFFFFF"/>
          </w:tcPr>
          <w:p w:rsidR="004E16E2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633,6</w:t>
            </w:r>
          </w:p>
        </w:tc>
        <w:tc>
          <w:tcPr>
            <w:tcW w:w="1080" w:type="dxa"/>
            <w:shd w:val="clear" w:color="auto" w:fill="FFFFFF"/>
          </w:tcPr>
          <w:p w:rsidR="004E16E2" w:rsidRPr="00317BA3" w:rsidRDefault="004E16E2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665,28</w:t>
            </w:r>
          </w:p>
        </w:tc>
      </w:tr>
      <w:tr w:rsidR="00D21783" w:rsidRPr="00317BA3" w:rsidTr="00EE2B16">
        <w:tc>
          <w:tcPr>
            <w:tcW w:w="3652" w:type="dxa"/>
            <w:shd w:val="clear" w:color="auto" w:fill="FFFFFF"/>
          </w:tcPr>
          <w:p w:rsidR="00D21783" w:rsidRPr="00317BA3" w:rsidRDefault="00D21783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виписаних рецептів на лікарські засоби (</w:t>
            </w:r>
            <w:proofErr w:type="spellStart"/>
            <w:r>
              <w:rPr>
                <w:color w:val="000000"/>
                <w:shd w:val="clear" w:color="auto" w:fill="FFFFFF"/>
              </w:rPr>
              <w:t>під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час амбулаторного </w:t>
            </w:r>
            <w:proofErr w:type="spellStart"/>
            <w:r>
              <w:rPr>
                <w:color w:val="000000"/>
                <w:shd w:val="clear" w:color="auto" w:fill="FFFFFF"/>
              </w:rPr>
              <w:t>лікування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осіб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страждають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серцево-судинні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захворювання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цукровий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діабет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II типу, </w:t>
            </w:r>
            <w:proofErr w:type="spellStart"/>
            <w:r>
              <w:rPr>
                <w:color w:val="000000"/>
                <w:shd w:val="clear" w:color="auto" w:fill="FFFFFF"/>
              </w:rPr>
              <w:t>бронхіальну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астму</w:t>
            </w:r>
            <w:r>
              <w:rPr>
                <w:sz w:val="18"/>
                <w:szCs w:val="18"/>
                <w:lang w:val="uk-UA"/>
              </w:rPr>
              <w:t>)відповідно до постанови КМУ від 10.03.2017 р. №181</w:t>
            </w:r>
            <w:r w:rsidR="00EE2B16">
              <w:rPr>
                <w:sz w:val="18"/>
                <w:szCs w:val="18"/>
                <w:lang w:val="uk-UA"/>
              </w:rPr>
              <w:t>, шт.</w:t>
            </w:r>
          </w:p>
        </w:tc>
        <w:tc>
          <w:tcPr>
            <w:tcW w:w="851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11600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10722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92,4%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3100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3100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3100</w:t>
            </w:r>
          </w:p>
        </w:tc>
      </w:tr>
      <w:tr w:rsidR="00D21783" w:rsidRPr="00317BA3" w:rsidTr="00EE2B16">
        <w:tc>
          <w:tcPr>
            <w:tcW w:w="3652" w:type="dxa"/>
            <w:shd w:val="clear" w:color="auto" w:fill="FFFFFF"/>
          </w:tcPr>
          <w:p w:rsidR="00D21783" w:rsidRPr="00EE2B16" w:rsidRDefault="00EE2B16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Обсяг фінансування (відшкодування вартості лікарських засобів </w:t>
            </w:r>
            <w:proofErr w:type="spellStart"/>
            <w:r>
              <w:rPr>
                <w:color w:val="000000"/>
                <w:shd w:val="clear" w:color="auto" w:fill="FFFFFF"/>
              </w:rPr>
              <w:t>під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час амбулаторного </w:t>
            </w:r>
            <w:proofErr w:type="spellStart"/>
            <w:r>
              <w:rPr>
                <w:color w:val="000000"/>
                <w:shd w:val="clear" w:color="auto" w:fill="FFFFFF"/>
              </w:rPr>
              <w:t>лікування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осіб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що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страждають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>
              <w:rPr>
                <w:color w:val="000000"/>
                <w:shd w:val="clear" w:color="auto" w:fill="FFFFFF"/>
              </w:rPr>
              <w:t>серцево-судинні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захворювання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цукровий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діабет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II типу, </w:t>
            </w:r>
            <w:proofErr w:type="spellStart"/>
            <w:r>
              <w:rPr>
                <w:color w:val="000000"/>
                <w:shd w:val="clear" w:color="auto" w:fill="FFFFFF"/>
              </w:rPr>
              <w:t>бронхіальну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астму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), </w:t>
            </w:r>
            <w:proofErr w:type="spellStart"/>
            <w:r>
              <w:rPr>
                <w:color w:val="000000"/>
                <w:shd w:val="clear" w:color="auto" w:fill="FFFFFF"/>
                <w:lang w:val="uk-UA"/>
              </w:rPr>
              <w:t>тис.грн</w:t>
            </w:r>
            <w:proofErr w:type="spellEnd"/>
            <w:r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  <w:tc>
          <w:tcPr>
            <w:tcW w:w="851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430,939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391,577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90,9%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114,801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121,2</w:t>
            </w:r>
          </w:p>
        </w:tc>
        <w:tc>
          <w:tcPr>
            <w:tcW w:w="1080" w:type="dxa"/>
            <w:shd w:val="clear" w:color="auto" w:fill="FFFFFF"/>
          </w:tcPr>
          <w:p w:rsidR="00D21783" w:rsidRPr="00317BA3" w:rsidRDefault="00EE2B16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127,3</w:t>
            </w:r>
          </w:p>
        </w:tc>
      </w:tr>
      <w:tr w:rsidR="003A67FA" w:rsidRPr="00317BA3" w:rsidTr="00EE2B16">
        <w:tc>
          <w:tcPr>
            <w:tcW w:w="3652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Кількість осіб</w:t>
            </w:r>
            <w:r w:rsidR="000C4789">
              <w:rPr>
                <w:sz w:val="18"/>
                <w:szCs w:val="18"/>
                <w:lang w:val="uk-UA"/>
              </w:rPr>
              <w:t xml:space="preserve">, яким зроблено вакцинацію </w:t>
            </w:r>
            <w:r w:rsidR="00317BA3">
              <w:rPr>
                <w:sz w:val="18"/>
                <w:szCs w:val="18"/>
                <w:lang w:val="uk-UA"/>
              </w:rPr>
              <w:t>проти грипу</w:t>
            </w:r>
          </w:p>
        </w:tc>
        <w:tc>
          <w:tcPr>
            <w:tcW w:w="851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100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100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100%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150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150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150</w:t>
            </w:r>
          </w:p>
        </w:tc>
      </w:tr>
      <w:tr w:rsidR="003A67FA" w:rsidRPr="00317BA3" w:rsidTr="00EE2B16">
        <w:tc>
          <w:tcPr>
            <w:tcW w:w="3652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lastRenderedPageBreak/>
              <w:t>Обсяг фінансування (закупівля вакцини проти грипу)</w:t>
            </w:r>
          </w:p>
        </w:tc>
        <w:tc>
          <w:tcPr>
            <w:tcW w:w="851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20,06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20,06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100%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26,25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BA4CB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27,7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BA4CB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29,1</w:t>
            </w:r>
          </w:p>
        </w:tc>
      </w:tr>
      <w:tr w:rsidR="003A67FA" w:rsidRPr="00317BA3" w:rsidTr="00EE2B16">
        <w:tc>
          <w:tcPr>
            <w:tcW w:w="3652" w:type="dxa"/>
            <w:shd w:val="clear" w:color="auto" w:fill="FFFFFF"/>
          </w:tcPr>
          <w:p w:rsidR="003A67FA" w:rsidRPr="00317BA3" w:rsidRDefault="000C4789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>Кількість осіб</w:t>
            </w:r>
            <w:r>
              <w:rPr>
                <w:sz w:val="18"/>
                <w:szCs w:val="18"/>
                <w:lang w:val="uk-UA"/>
              </w:rPr>
              <w:t>, яким зроблено вакцинацію проти сказу</w:t>
            </w:r>
          </w:p>
        </w:tc>
        <w:tc>
          <w:tcPr>
            <w:tcW w:w="851" w:type="dxa"/>
            <w:shd w:val="clear" w:color="auto" w:fill="FFFFFF"/>
          </w:tcPr>
          <w:p w:rsidR="003A67FA" w:rsidRPr="00317BA3" w:rsidRDefault="00BA4CB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9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BA4CB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BA4CB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55,6%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25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25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25</w:t>
            </w:r>
          </w:p>
        </w:tc>
      </w:tr>
      <w:tr w:rsidR="003A67FA" w:rsidRPr="00317BA3" w:rsidTr="00EE2B16">
        <w:tc>
          <w:tcPr>
            <w:tcW w:w="3652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rPr>
                <w:sz w:val="18"/>
                <w:szCs w:val="18"/>
                <w:lang w:val="uk-UA"/>
              </w:rPr>
            </w:pPr>
            <w:r w:rsidRPr="00317BA3">
              <w:rPr>
                <w:sz w:val="18"/>
                <w:szCs w:val="18"/>
                <w:lang w:val="uk-UA"/>
              </w:rPr>
              <w:t xml:space="preserve">Обсяг фінансування (закупівля </w:t>
            </w:r>
            <w:proofErr w:type="spellStart"/>
            <w:r w:rsidR="00317BA3" w:rsidRPr="00317BA3">
              <w:rPr>
                <w:sz w:val="18"/>
                <w:szCs w:val="18"/>
                <w:lang w:val="uk-UA"/>
              </w:rPr>
              <w:t>антирабічної</w:t>
            </w:r>
            <w:proofErr w:type="spellEnd"/>
            <w:r w:rsidR="00317BA3" w:rsidRPr="00317BA3">
              <w:rPr>
                <w:sz w:val="18"/>
                <w:szCs w:val="18"/>
                <w:lang w:val="uk-UA"/>
              </w:rPr>
              <w:t xml:space="preserve"> </w:t>
            </w:r>
            <w:r w:rsidRPr="00317BA3">
              <w:rPr>
                <w:sz w:val="18"/>
                <w:szCs w:val="18"/>
                <w:lang w:val="uk-UA"/>
              </w:rPr>
              <w:t>вакцини)</w:t>
            </w:r>
          </w:p>
        </w:tc>
        <w:tc>
          <w:tcPr>
            <w:tcW w:w="851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31,0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29,14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94%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3A67F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 w:rsidRPr="00317BA3">
              <w:rPr>
                <w:i/>
                <w:sz w:val="18"/>
                <w:szCs w:val="18"/>
                <w:lang w:val="uk-UA"/>
              </w:rPr>
              <w:t>78,0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BA4CB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82,4</w:t>
            </w:r>
          </w:p>
        </w:tc>
        <w:tc>
          <w:tcPr>
            <w:tcW w:w="1080" w:type="dxa"/>
            <w:shd w:val="clear" w:color="auto" w:fill="FFFFFF"/>
          </w:tcPr>
          <w:p w:rsidR="003A67FA" w:rsidRPr="00317BA3" w:rsidRDefault="00BA4CBA" w:rsidP="000C4789">
            <w:pPr>
              <w:spacing w:after="0" w:line="240" w:lineRule="auto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86,3</w:t>
            </w:r>
          </w:p>
        </w:tc>
      </w:tr>
    </w:tbl>
    <w:p w:rsidR="00C21DEE" w:rsidRDefault="00C21DEE" w:rsidP="0008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21DEE" w:rsidRPr="00772CB2" w:rsidRDefault="00C21DEE" w:rsidP="0008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C21DEE" w:rsidRPr="00772CB2" w:rsidRDefault="00772CB2" w:rsidP="0008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772CB2">
        <w:rPr>
          <w:rFonts w:ascii="Times New Roman" w:hAnsi="Times New Roman"/>
          <w:sz w:val="24"/>
          <w:szCs w:val="24"/>
          <w:lang w:val="uk-UA" w:eastAsia="ar-SA"/>
        </w:rPr>
        <w:t>Секретар ради</w:t>
      </w:r>
      <w:r w:rsidRPr="00772CB2">
        <w:rPr>
          <w:rFonts w:ascii="Times New Roman" w:hAnsi="Times New Roman"/>
          <w:sz w:val="24"/>
          <w:szCs w:val="24"/>
          <w:lang w:val="uk-UA" w:eastAsia="ar-SA"/>
        </w:rPr>
        <w:tab/>
      </w:r>
      <w:r w:rsidRPr="00772CB2">
        <w:rPr>
          <w:rFonts w:ascii="Times New Roman" w:hAnsi="Times New Roman"/>
          <w:sz w:val="24"/>
          <w:szCs w:val="24"/>
          <w:lang w:val="uk-UA" w:eastAsia="ar-SA"/>
        </w:rPr>
        <w:tab/>
      </w:r>
      <w:r w:rsidRPr="00772CB2">
        <w:rPr>
          <w:rFonts w:ascii="Times New Roman" w:hAnsi="Times New Roman"/>
          <w:sz w:val="24"/>
          <w:szCs w:val="24"/>
          <w:lang w:val="uk-UA" w:eastAsia="ar-SA"/>
        </w:rPr>
        <w:tab/>
      </w:r>
      <w:r w:rsidRPr="00772CB2">
        <w:rPr>
          <w:rFonts w:ascii="Times New Roman" w:hAnsi="Times New Roman"/>
          <w:sz w:val="24"/>
          <w:szCs w:val="24"/>
          <w:lang w:val="uk-UA" w:eastAsia="ar-SA"/>
        </w:rPr>
        <w:tab/>
      </w:r>
      <w:r w:rsidRPr="00772CB2">
        <w:rPr>
          <w:rFonts w:ascii="Times New Roman" w:hAnsi="Times New Roman"/>
          <w:sz w:val="24"/>
          <w:szCs w:val="24"/>
          <w:lang w:val="uk-UA" w:eastAsia="ar-SA"/>
        </w:rPr>
        <w:tab/>
      </w:r>
      <w:proofErr w:type="spellStart"/>
      <w:r w:rsidRPr="00772CB2">
        <w:rPr>
          <w:rFonts w:ascii="Times New Roman" w:hAnsi="Times New Roman"/>
          <w:sz w:val="24"/>
          <w:szCs w:val="24"/>
          <w:lang w:val="uk-UA" w:eastAsia="ar-SA"/>
        </w:rPr>
        <w:t>О.М.Ярошенко</w:t>
      </w:r>
      <w:proofErr w:type="spellEnd"/>
    </w:p>
    <w:p w:rsidR="00C21DEE" w:rsidRPr="00772CB2" w:rsidRDefault="00C21DEE" w:rsidP="0008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21DEE" w:rsidRPr="00772CB2" w:rsidRDefault="00C21DEE" w:rsidP="00085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C21DEE" w:rsidRDefault="00C21DEE" w:rsidP="0041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C21DEE" w:rsidRDefault="00C21DEE" w:rsidP="0041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sectPr w:rsidR="00C21DEE" w:rsidSect="00BD33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533997"/>
    <w:multiLevelType w:val="hybridMultilevel"/>
    <w:tmpl w:val="CC3498A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6B1F39"/>
    <w:multiLevelType w:val="hybridMultilevel"/>
    <w:tmpl w:val="F2C29582"/>
    <w:lvl w:ilvl="0" w:tplc="C6068526">
      <w:start w:val="1"/>
      <w:numFmt w:val="decimal"/>
      <w:lvlText w:val="%1."/>
      <w:lvlJc w:val="left"/>
      <w:pPr>
        <w:ind w:left="6172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3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4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  <w:rPr>
        <w:rFonts w:cs="Times New Roman"/>
      </w:rPr>
    </w:lvl>
  </w:abstractNum>
  <w:abstractNum w:abstractNumId="5" w15:restartNumberingAfterBreak="0">
    <w:nsid w:val="0B7E1443"/>
    <w:multiLevelType w:val="hybridMultilevel"/>
    <w:tmpl w:val="F0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7D3"/>
    <w:multiLevelType w:val="hybridMultilevel"/>
    <w:tmpl w:val="4A58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F4B05"/>
    <w:multiLevelType w:val="hybridMultilevel"/>
    <w:tmpl w:val="6C2C3650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1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23C05E4"/>
    <w:multiLevelType w:val="hybridMultilevel"/>
    <w:tmpl w:val="0016BD1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1A7247"/>
    <w:multiLevelType w:val="hybridMultilevel"/>
    <w:tmpl w:val="CFCEBD96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F7B0A"/>
    <w:multiLevelType w:val="hybridMultilevel"/>
    <w:tmpl w:val="709C87C4"/>
    <w:lvl w:ilvl="0" w:tplc="BDDAC8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7" w15:restartNumberingAfterBreak="0">
    <w:nsid w:val="45E52A69"/>
    <w:multiLevelType w:val="hybridMultilevel"/>
    <w:tmpl w:val="8C74B8D4"/>
    <w:lvl w:ilvl="0" w:tplc="633202FA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8" w15:restartNumberingAfterBreak="0">
    <w:nsid w:val="47501117"/>
    <w:multiLevelType w:val="hybridMultilevel"/>
    <w:tmpl w:val="FD2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93F2A"/>
    <w:multiLevelType w:val="hybridMultilevel"/>
    <w:tmpl w:val="2DC8CDE8"/>
    <w:lvl w:ilvl="0" w:tplc="9FBA2E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5F6424"/>
    <w:multiLevelType w:val="multilevel"/>
    <w:tmpl w:val="AFC4A8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5F65D4"/>
    <w:multiLevelType w:val="hybridMultilevel"/>
    <w:tmpl w:val="4C5E1BBC"/>
    <w:lvl w:ilvl="0" w:tplc="06148A7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5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DD02E1D"/>
    <w:multiLevelType w:val="hybridMultilevel"/>
    <w:tmpl w:val="9062989E"/>
    <w:lvl w:ilvl="0" w:tplc="7486A0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C2DA2"/>
    <w:multiLevelType w:val="hybridMultilevel"/>
    <w:tmpl w:val="714C0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531620"/>
    <w:multiLevelType w:val="hybridMultilevel"/>
    <w:tmpl w:val="03EE4406"/>
    <w:lvl w:ilvl="0" w:tplc="4A40F274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0" w15:restartNumberingAfterBreak="0">
    <w:nsid w:val="609878A8"/>
    <w:multiLevelType w:val="multilevel"/>
    <w:tmpl w:val="A3B027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1" w15:restartNumberingAfterBreak="0">
    <w:nsid w:val="62B75752"/>
    <w:multiLevelType w:val="hybridMultilevel"/>
    <w:tmpl w:val="0DCA38D4"/>
    <w:lvl w:ilvl="0" w:tplc="984E4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55157B"/>
    <w:multiLevelType w:val="hybridMultilevel"/>
    <w:tmpl w:val="3216C292"/>
    <w:lvl w:ilvl="0" w:tplc="AF7A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E72FB"/>
    <w:multiLevelType w:val="hybridMultilevel"/>
    <w:tmpl w:val="D048EBE0"/>
    <w:lvl w:ilvl="0" w:tplc="A06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  <w:rPr>
        <w:rFonts w:cs="Times New Roman"/>
      </w:rPr>
    </w:lvl>
  </w:abstractNum>
  <w:abstractNum w:abstractNumId="34" w15:restartNumberingAfterBreak="0">
    <w:nsid w:val="6E810EDF"/>
    <w:multiLevelType w:val="multilevel"/>
    <w:tmpl w:val="537E9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7947727F"/>
    <w:multiLevelType w:val="hybridMultilevel"/>
    <w:tmpl w:val="21D89ED6"/>
    <w:lvl w:ilvl="0" w:tplc="7050513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132E7F"/>
    <w:multiLevelType w:val="hybridMultilevel"/>
    <w:tmpl w:val="CAB03F6E"/>
    <w:lvl w:ilvl="0" w:tplc="DC36A29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807008"/>
    <w:multiLevelType w:val="multilevel"/>
    <w:tmpl w:val="606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9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4"/>
  </w:num>
  <w:num w:numId="11">
    <w:abstractNumId w:val="13"/>
  </w:num>
  <w:num w:numId="12">
    <w:abstractNumId w:val="26"/>
  </w:num>
  <w:num w:numId="13">
    <w:abstractNumId w:val="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8"/>
  </w:num>
  <w:num w:numId="17">
    <w:abstractNumId w:val="38"/>
  </w:num>
  <w:num w:numId="18">
    <w:abstractNumId w:val="23"/>
  </w:num>
  <w:num w:numId="19">
    <w:abstractNumId w:val="22"/>
  </w:num>
  <w:num w:numId="20">
    <w:abstractNumId w:val="8"/>
  </w:num>
  <w:num w:numId="21">
    <w:abstractNumId w:val="20"/>
  </w:num>
  <w:num w:numId="22">
    <w:abstractNumId w:val="7"/>
  </w:num>
  <w:num w:numId="23">
    <w:abstractNumId w:val="15"/>
  </w:num>
  <w:num w:numId="24">
    <w:abstractNumId w:val="35"/>
  </w:num>
  <w:num w:numId="25">
    <w:abstractNumId w:val="10"/>
  </w:num>
  <w:num w:numId="26">
    <w:abstractNumId w:val="25"/>
  </w:num>
  <w:num w:numId="27">
    <w:abstractNumId w:val="11"/>
  </w:num>
  <w:num w:numId="28">
    <w:abstractNumId w:val="16"/>
  </w:num>
  <w:num w:numId="29">
    <w:abstractNumId w:val="17"/>
  </w:num>
  <w:num w:numId="30">
    <w:abstractNumId w:val="37"/>
  </w:num>
  <w:num w:numId="31">
    <w:abstractNumId w:val="36"/>
  </w:num>
  <w:num w:numId="32">
    <w:abstractNumId w:val="14"/>
  </w:num>
  <w:num w:numId="33">
    <w:abstractNumId w:val="21"/>
  </w:num>
  <w:num w:numId="34">
    <w:abstractNumId w:val="5"/>
  </w:num>
  <w:num w:numId="35">
    <w:abstractNumId w:val="32"/>
  </w:num>
  <w:num w:numId="36">
    <w:abstractNumId w:val="27"/>
  </w:num>
  <w:num w:numId="37">
    <w:abstractNumId w:val="31"/>
  </w:num>
  <w:num w:numId="38">
    <w:abstractNumId w:val="6"/>
  </w:num>
  <w:num w:numId="39">
    <w:abstractNumId w:val="39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8E9"/>
    <w:rsid w:val="000317E9"/>
    <w:rsid w:val="00065C35"/>
    <w:rsid w:val="00081B5C"/>
    <w:rsid w:val="0008587F"/>
    <w:rsid w:val="000A4596"/>
    <w:rsid w:val="000B2E13"/>
    <w:rsid w:val="000C359F"/>
    <w:rsid w:val="000C4789"/>
    <w:rsid w:val="000F73D5"/>
    <w:rsid w:val="001168E9"/>
    <w:rsid w:val="0011771A"/>
    <w:rsid w:val="001252DB"/>
    <w:rsid w:val="00127F36"/>
    <w:rsid w:val="00132A6F"/>
    <w:rsid w:val="00191F07"/>
    <w:rsid w:val="00193619"/>
    <w:rsid w:val="001D1D58"/>
    <w:rsid w:val="00233F2A"/>
    <w:rsid w:val="002A5E57"/>
    <w:rsid w:val="00307D4F"/>
    <w:rsid w:val="00317BA3"/>
    <w:rsid w:val="00320427"/>
    <w:rsid w:val="00347726"/>
    <w:rsid w:val="00395FBE"/>
    <w:rsid w:val="00396F47"/>
    <w:rsid w:val="003A093B"/>
    <w:rsid w:val="003A67FA"/>
    <w:rsid w:val="004113B1"/>
    <w:rsid w:val="00443314"/>
    <w:rsid w:val="00454E28"/>
    <w:rsid w:val="004E16E2"/>
    <w:rsid w:val="005076C7"/>
    <w:rsid w:val="005A40E4"/>
    <w:rsid w:val="005F083C"/>
    <w:rsid w:val="006D32FC"/>
    <w:rsid w:val="006D432B"/>
    <w:rsid w:val="007257A6"/>
    <w:rsid w:val="00753DF6"/>
    <w:rsid w:val="00762958"/>
    <w:rsid w:val="00772CB2"/>
    <w:rsid w:val="007E47AA"/>
    <w:rsid w:val="007E690A"/>
    <w:rsid w:val="007E79C7"/>
    <w:rsid w:val="00844708"/>
    <w:rsid w:val="008449F7"/>
    <w:rsid w:val="008506A5"/>
    <w:rsid w:val="00893D5E"/>
    <w:rsid w:val="008A0CCB"/>
    <w:rsid w:val="008A493C"/>
    <w:rsid w:val="009105E7"/>
    <w:rsid w:val="009114FF"/>
    <w:rsid w:val="00933B93"/>
    <w:rsid w:val="00943A05"/>
    <w:rsid w:val="009615B7"/>
    <w:rsid w:val="00963F9D"/>
    <w:rsid w:val="00977ACA"/>
    <w:rsid w:val="009F0754"/>
    <w:rsid w:val="00A10EF0"/>
    <w:rsid w:val="00A43239"/>
    <w:rsid w:val="00A90B6D"/>
    <w:rsid w:val="00AA01CE"/>
    <w:rsid w:val="00AA0B38"/>
    <w:rsid w:val="00AB7060"/>
    <w:rsid w:val="00AC6906"/>
    <w:rsid w:val="00B47670"/>
    <w:rsid w:val="00B63EBC"/>
    <w:rsid w:val="00B81B51"/>
    <w:rsid w:val="00B93225"/>
    <w:rsid w:val="00BA4CBA"/>
    <w:rsid w:val="00BC65CA"/>
    <w:rsid w:val="00BD337E"/>
    <w:rsid w:val="00C16DBA"/>
    <w:rsid w:val="00C21DEE"/>
    <w:rsid w:val="00C35A0D"/>
    <w:rsid w:val="00CA0888"/>
    <w:rsid w:val="00CB5E2F"/>
    <w:rsid w:val="00D21783"/>
    <w:rsid w:val="00D246E0"/>
    <w:rsid w:val="00D33209"/>
    <w:rsid w:val="00D5677D"/>
    <w:rsid w:val="00D8711A"/>
    <w:rsid w:val="00D96162"/>
    <w:rsid w:val="00DB1329"/>
    <w:rsid w:val="00DF157A"/>
    <w:rsid w:val="00E017F9"/>
    <w:rsid w:val="00E06316"/>
    <w:rsid w:val="00E13A69"/>
    <w:rsid w:val="00E45693"/>
    <w:rsid w:val="00E9091E"/>
    <w:rsid w:val="00EB3504"/>
    <w:rsid w:val="00EE2B16"/>
    <w:rsid w:val="00EF1341"/>
    <w:rsid w:val="00F704DA"/>
    <w:rsid w:val="00F908F9"/>
    <w:rsid w:val="00F97FE3"/>
    <w:rsid w:val="00FC7E9D"/>
    <w:rsid w:val="00FD44C1"/>
    <w:rsid w:val="00FF1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8AAF8"/>
  <w15:docId w15:val="{989AF3F2-65F1-4CCA-97BD-7E592252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8E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81B51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B81B5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5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1B51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81B5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81B51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1B51"/>
    <w:rPr>
      <w:rFonts w:ascii="Cambria" w:hAnsi="Cambria" w:cs="Times New Roman"/>
      <w:color w:val="243F60"/>
    </w:rPr>
  </w:style>
  <w:style w:type="character" w:styleId="a3">
    <w:name w:val="Strong"/>
    <w:basedOn w:val="a0"/>
    <w:uiPriority w:val="99"/>
    <w:qFormat/>
    <w:rsid w:val="000C359F"/>
    <w:rPr>
      <w:rFonts w:cs="Times New Roman"/>
      <w:b/>
      <w:bCs/>
    </w:rPr>
  </w:style>
  <w:style w:type="paragraph" w:styleId="a4">
    <w:name w:val="No Spacing"/>
    <w:link w:val="a5"/>
    <w:uiPriority w:val="99"/>
    <w:qFormat/>
    <w:rsid w:val="000C359F"/>
    <w:pPr>
      <w:spacing w:after="200" w:line="276" w:lineRule="auto"/>
    </w:pPr>
    <w:rPr>
      <w:rFonts w:eastAsia="Times New Roman"/>
      <w:lang w:eastAsia="en-US"/>
    </w:rPr>
  </w:style>
  <w:style w:type="character" w:customStyle="1" w:styleId="a5">
    <w:name w:val="Без інтервалів Знак"/>
    <w:link w:val="a4"/>
    <w:uiPriority w:val="99"/>
    <w:locked/>
    <w:rsid w:val="000C359F"/>
    <w:rPr>
      <w:rFonts w:ascii="Calibri" w:hAnsi="Calibri"/>
      <w:sz w:val="22"/>
      <w:lang w:val="ru-RU" w:eastAsia="en-US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</w:style>
  <w:style w:type="paragraph" w:customStyle="1" w:styleId="31">
    <w:name w:val="Заголовок 3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51">
    <w:name w:val="Заголовок 51"/>
    <w:basedOn w:val="a"/>
    <w:next w:val="a"/>
    <w:uiPriority w:val="99"/>
    <w:semiHidden/>
    <w:rsid w:val="00B81B5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a7">
    <w:name w:val="Body Text"/>
    <w:basedOn w:val="a"/>
    <w:link w:val="a8"/>
    <w:uiPriority w:val="99"/>
    <w:rsid w:val="00B81B51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uiPriority w:val="99"/>
    <w:locked/>
    <w:rsid w:val="00B81B51"/>
    <w:rPr>
      <w:rFonts w:ascii="Times New Roman" w:eastAsia="Times New Roman" w:hAnsi="Times New Roman" w:cs="Times New Roman"/>
      <w:kern w:val="1"/>
      <w:sz w:val="24"/>
      <w:szCs w:val="24"/>
      <w:lang w:val="uk-UA"/>
    </w:rPr>
  </w:style>
  <w:style w:type="paragraph" w:customStyle="1" w:styleId="a9">
    <w:name w:val="Содержимое таблицы"/>
    <w:basedOn w:val="a"/>
    <w:uiPriority w:val="99"/>
    <w:rsid w:val="00B81B51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uk-UA"/>
    </w:rPr>
  </w:style>
  <w:style w:type="paragraph" w:customStyle="1" w:styleId="rvps2">
    <w:name w:val="rvps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link w:val="ac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c">
    <w:name w:val="Підзаголовок Знак"/>
    <w:basedOn w:val="a0"/>
    <w:link w:val="ab"/>
    <w:uiPriority w:val="99"/>
    <w:locked/>
    <w:rsid w:val="00B81B51"/>
    <w:rPr>
      <w:rFonts w:ascii="Times New Roman" w:hAnsi="Times New Roman" w:cs="Times New Roman"/>
      <w:sz w:val="28"/>
      <w:szCs w:val="28"/>
      <w:lang w:val="uk-UA" w:eastAsia="ru-RU"/>
    </w:rPr>
  </w:style>
  <w:style w:type="table" w:customStyle="1" w:styleId="11">
    <w:name w:val="Сетка таблицы1"/>
    <w:uiPriority w:val="99"/>
    <w:rsid w:val="00B81B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aliases w:val="Знак1"/>
    <w:basedOn w:val="a"/>
    <w:link w:val="ae"/>
    <w:uiPriority w:val="99"/>
    <w:qFormat/>
    <w:rsid w:val="00B81B51"/>
    <w:pPr>
      <w:spacing w:after="0" w:line="240" w:lineRule="auto"/>
      <w:jc w:val="center"/>
    </w:pPr>
    <w:rPr>
      <w:rFonts w:ascii="Times New Roman" w:hAnsi="Times New Roman"/>
      <w:sz w:val="32"/>
      <w:szCs w:val="32"/>
      <w:lang w:val="uk-UA" w:eastAsia="ru-RU"/>
    </w:rPr>
  </w:style>
  <w:style w:type="character" w:customStyle="1" w:styleId="ae">
    <w:name w:val="Назва Знак"/>
    <w:aliases w:val="Знак1 Знак"/>
    <w:basedOn w:val="a0"/>
    <w:link w:val="ad"/>
    <w:uiPriority w:val="99"/>
    <w:locked/>
    <w:rsid w:val="00B81B51"/>
    <w:rPr>
      <w:rFonts w:ascii="Times New Roman" w:hAnsi="Times New Roman" w:cs="Times New Roman"/>
      <w:sz w:val="32"/>
      <w:szCs w:val="32"/>
      <w:lang w:val="uk-UA" w:eastAsia="ru-RU"/>
    </w:rPr>
  </w:style>
  <w:style w:type="character" w:styleId="af">
    <w:name w:val="Hyperlink"/>
    <w:basedOn w:val="a0"/>
    <w:uiPriority w:val="99"/>
    <w:semiHidden/>
    <w:rsid w:val="00B81B5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81B51"/>
    <w:rPr>
      <w:rFonts w:cs="Times New Roman"/>
    </w:rPr>
  </w:style>
  <w:style w:type="character" w:customStyle="1" w:styleId="rvts9">
    <w:name w:val="rvts9"/>
    <w:basedOn w:val="a0"/>
    <w:uiPriority w:val="99"/>
    <w:rsid w:val="00B81B51"/>
    <w:rPr>
      <w:rFonts w:cs="Times New Roman"/>
    </w:rPr>
  </w:style>
  <w:style w:type="paragraph" w:customStyle="1" w:styleId="rvps12">
    <w:name w:val="rvps12"/>
    <w:basedOn w:val="a"/>
    <w:uiPriority w:val="99"/>
    <w:rsid w:val="00B81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uiPriority w:val="99"/>
    <w:rsid w:val="00B81B51"/>
    <w:rPr>
      <w:rFonts w:cs="Times New Roman"/>
    </w:rPr>
  </w:style>
  <w:style w:type="paragraph" w:customStyle="1" w:styleId="110">
    <w:name w:val="Заголовок 11"/>
    <w:basedOn w:val="a"/>
    <w:next w:val="a"/>
    <w:uiPriority w:val="99"/>
    <w:rsid w:val="00B81B51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9"/>
    <w:rsid w:val="00B81B51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af0">
    <w:name w:val="Нормальний текст"/>
    <w:basedOn w:val="a"/>
    <w:uiPriority w:val="99"/>
    <w:rsid w:val="00B81B5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1">
    <w:name w:val="Назва документа"/>
    <w:basedOn w:val="a"/>
    <w:next w:val="af0"/>
    <w:uiPriority w:val="99"/>
    <w:rsid w:val="00B81B51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B81B5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2">
    <w:name w:val="Emphasis"/>
    <w:basedOn w:val="a0"/>
    <w:uiPriority w:val="99"/>
    <w:qFormat/>
    <w:rsid w:val="00B81B51"/>
    <w:rPr>
      <w:rFonts w:cs="Times New Roman"/>
      <w:i/>
      <w:iCs/>
    </w:rPr>
  </w:style>
  <w:style w:type="character" w:customStyle="1" w:styleId="111">
    <w:name w:val="Заголовок 1 Знак1"/>
    <w:basedOn w:val="a0"/>
    <w:uiPriority w:val="99"/>
    <w:rsid w:val="00B81B5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basedOn w:val="a0"/>
    <w:uiPriority w:val="99"/>
    <w:semiHidden/>
    <w:rsid w:val="00B81B51"/>
    <w:rPr>
      <w:rFonts w:ascii="Cambria" w:hAnsi="Cambria" w:cs="Times New Roman"/>
      <w:b/>
      <w:bCs/>
      <w:color w:val="4F81BD"/>
      <w:sz w:val="26"/>
      <w:szCs w:val="26"/>
    </w:rPr>
  </w:style>
  <w:style w:type="paragraph" w:styleId="af3">
    <w:name w:val="Balloon Text"/>
    <w:basedOn w:val="a"/>
    <w:link w:val="af4"/>
    <w:uiPriority w:val="99"/>
    <w:semiHidden/>
    <w:rsid w:val="00B8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locked/>
    <w:rsid w:val="00B81B51"/>
    <w:rPr>
      <w:rFonts w:ascii="Tahoma" w:hAnsi="Tahoma" w:cs="Tahoma"/>
      <w:sz w:val="16"/>
      <w:szCs w:val="16"/>
    </w:rPr>
  </w:style>
  <w:style w:type="character" w:customStyle="1" w:styleId="12">
    <w:name w:val="Название Знак1"/>
    <w:basedOn w:val="a0"/>
    <w:uiPriority w:val="99"/>
    <w:rsid w:val="00B81B51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customStyle="1" w:styleId="112">
    <w:name w:val="Сетка таблицы11"/>
    <w:uiPriority w:val="99"/>
    <w:rsid w:val="00B81B51"/>
    <w:pPr>
      <w:ind w:left="57" w:right="5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uiPriority w:val="99"/>
    <w:semiHidden/>
    <w:rsid w:val="00B81B51"/>
    <w:rPr>
      <w:rFonts w:ascii="Cambria" w:hAnsi="Cambria" w:cs="Times New Roman"/>
      <w:b/>
      <w:bCs/>
      <w:color w:val="4F81BD"/>
    </w:rPr>
  </w:style>
  <w:style w:type="character" w:customStyle="1" w:styleId="510">
    <w:name w:val="Заголовок 5 Знак1"/>
    <w:basedOn w:val="a0"/>
    <w:uiPriority w:val="99"/>
    <w:semiHidden/>
    <w:rsid w:val="00B81B51"/>
    <w:rPr>
      <w:rFonts w:ascii="Cambria" w:hAnsi="Cambria" w:cs="Times New Roman"/>
      <w:color w:val="243F60"/>
    </w:rPr>
  </w:style>
  <w:style w:type="table" w:styleId="af5">
    <w:name w:val="Table Grid"/>
    <w:basedOn w:val="a1"/>
    <w:uiPriority w:val="99"/>
    <w:rsid w:val="00B81B5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5"/>
    <w:uiPriority w:val="59"/>
    <w:rsid w:val="00A4323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11771A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uiPriority w:val="99"/>
    <w:semiHidden/>
    <w:rsid w:val="0011771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0E70-BA6F-49AD-AC57-A1E70276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9</Pages>
  <Words>12798</Words>
  <Characters>7295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delux</cp:lastModifiedBy>
  <cp:revision>25</cp:revision>
  <cp:lastPrinted>2018-07-17T05:36:00Z</cp:lastPrinted>
  <dcterms:created xsi:type="dcterms:W3CDTF">2018-07-17T05:25:00Z</dcterms:created>
  <dcterms:modified xsi:type="dcterms:W3CDTF">2018-12-09T12:40:00Z</dcterms:modified>
</cp:coreProperties>
</file>