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45" w:rsidRPr="00A87A45" w:rsidRDefault="00412138" w:rsidP="00A87A45">
      <w:pPr>
        <w:spacing w:after="0" w:line="240" w:lineRule="auto"/>
        <w:jc w:val="right"/>
        <w:rPr>
          <w:rStyle w:val="FontStyle12"/>
          <w:b/>
          <w:bCs/>
          <w:iCs/>
          <w:sz w:val="24"/>
          <w:szCs w:val="24"/>
          <w:lang w:val="ru-RU"/>
        </w:rPr>
      </w:pPr>
      <w:r w:rsidRPr="00F83F40">
        <w:rPr>
          <w:rStyle w:val="FontStyle12"/>
          <w:b/>
          <w:bCs/>
          <w:i/>
          <w:iCs/>
          <w:sz w:val="24"/>
          <w:szCs w:val="24"/>
          <w:lang w:val="ru-RU"/>
        </w:rPr>
        <w:t xml:space="preserve">   </w:t>
      </w:r>
      <w:proofErr w:type="spellStart"/>
      <w:r w:rsidR="00A87A45" w:rsidRPr="00A87A45">
        <w:rPr>
          <w:rStyle w:val="FontStyle12"/>
          <w:b/>
          <w:bCs/>
          <w:iCs/>
          <w:sz w:val="24"/>
          <w:szCs w:val="24"/>
          <w:lang w:val="ru-RU"/>
        </w:rPr>
        <w:t>Додаток</w:t>
      </w:r>
      <w:proofErr w:type="spellEnd"/>
      <w:r w:rsidR="00A87A45"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 до </w:t>
      </w:r>
      <w:proofErr w:type="spellStart"/>
      <w:proofErr w:type="gramStart"/>
      <w:r w:rsidR="00A87A45" w:rsidRPr="00A87A45">
        <w:rPr>
          <w:rStyle w:val="FontStyle12"/>
          <w:b/>
          <w:bCs/>
          <w:iCs/>
          <w:sz w:val="24"/>
          <w:szCs w:val="24"/>
          <w:lang w:val="ru-RU"/>
        </w:rPr>
        <w:t>р</w:t>
      </w:r>
      <w:proofErr w:type="gramEnd"/>
      <w:r w:rsidR="00A87A45" w:rsidRPr="00A87A45">
        <w:rPr>
          <w:rStyle w:val="FontStyle12"/>
          <w:b/>
          <w:bCs/>
          <w:iCs/>
          <w:sz w:val="24"/>
          <w:szCs w:val="24"/>
          <w:lang w:val="ru-RU"/>
        </w:rPr>
        <w:t>ішення</w:t>
      </w:r>
      <w:proofErr w:type="spellEnd"/>
      <w:r w:rsidR="00A87A45"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 </w:t>
      </w:r>
    </w:p>
    <w:p w:rsidR="000336D7" w:rsidRPr="00A87A45" w:rsidRDefault="00A87A45" w:rsidP="00A87A45">
      <w:pPr>
        <w:spacing w:after="0" w:line="240" w:lineRule="auto"/>
        <w:jc w:val="right"/>
        <w:rPr>
          <w:rStyle w:val="FontStyle12"/>
          <w:b/>
          <w:bCs/>
          <w:iCs/>
          <w:sz w:val="24"/>
          <w:szCs w:val="24"/>
          <w:lang w:val="ru-RU"/>
        </w:rPr>
      </w:pPr>
      <w:r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Зеленодольської </w:t>
      </w:r>
      <w:proofErr w:type="spellStart"/>
      <w:r w:rsidRPr="00A87A45">
        <w:rPr>
          <w:rStyle w:val="FontStyle12"/>
          <w:b/>
          <w:bCs/>
          <w:iCs/>
          <w:sz w:val="24"/>
          <w:szCs w:val="24"/>
          <w:lang w:val="ru-RU"/>
        </w:rPr>
        <w:t>міської</w:t>
      </w:r>
      <w:proofErr w:type="spellEnd"/>
      <w:r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 ради </w:t>
      </w:r>
    </w:p>
    <w:p w:rsidR="00A87A45" w:rsidRPr="00A87A45" w:rsidRDefault="00A87A45" w:rsidP="00A87A45">
      <w:pPr>
        <w:spacing w:after="0" w:line="240" w:lineRule="auto"/>
        <w:jc w:val="right"/>
        <w:rPr>
          <w:b/>
          <w:bCs/>
        </w:rPr>
      </w:pPr>
      <w:r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№951 </w:t>
      </w:r>
      <w:proofErr w:type="spellStart"/>
      <w:r w:rsidRPr="00A87A45">
        <w:rPr>
          <w:rStyle w:val="FontStyle12"/>
          <w:b/>
          <w:bCs/>
          <w:iCs/>
          <w:sz w:val="24"/>
          <w:szCs w:val="24"/>
          <w:lang w:val="ru-RU"/>
        </w:rPr>
        <w:t>від</w:t>
      </w:r>
      <w:proofErr w:type="spellEnd"/>
      <w:r w:rsidRPr="00A87A45">
        <w:rPr>
          <w:rStyle w:val="FontStyle12"/>
          <w:b/>
          <w:bCs/>
          <w:iCs/>
          <w:sz w:val="24"/>
          <w:szCs w:val="24"/>
          <w:lang w:val="ru-RU"/>
        </w:rPr>
        <w:t xml:space="preserve"> 25.03.2015р.</w:t>
      </w:r>
    </w:p>
    <w:p w:rsidR="000336D7" w:rsidRDefault="000336D7" w:rsidP="00412138">
      <w:pPr>
        <w:pStyle w:val="11"/>
        <w:spacing w:after="0"/>
        <w:ind w:left="0" w:firstLine="720"/>
        <w:jc w:val="center"/>
        <w:rPr>
          <w:b/>
          <w:bCs/>
        </w:rPr>
      </w:pPr>
    </w:p>
    <w:p w:rsidR="00412138" w:rsidRPr="00FF259C" w:rsidRDefault="00412138" w:rsidP="00412138">
      <w:pPr>
        <w:pStyle w:val="11"/>
        <w:spacing w:after="0"/>
        <w:ind w:left="0" w:firstLine="720"/>
        <w:jc w:val="center"/>
        <w:rPr>
          <w:b/>
          <w:bCs/>
        </w:rPr>
      </w:pPr>
      <w:r w:rsidRPr="00FF259C">
        <w:rPr>
          <w:b/>
          <w:bCs/>
        </w:rPr>
        <w:t xml:space="preserve">Програма </w:t>
      </w:r>
    </w:p>
    <w:p w:rsidR="00412138" w:rsidRPr="00FF259C" w:rsidRDefault="00412138" w:rsidP="00412138">
      <w:pPr>
        <w:pStyle w:val="11"/>
        <w:spacing w:after="0"/>
        <w:ind w:left="0"/>
        <w:jc w:val="center"/>
        <w:rPr>
          <w:b/>
          <w:bCs/>
        </w:rPr>
      </w:pPr>
      <w:r w:rsidRPr="00FF259C">
        <w:rPr>
          <w:b/>
          <w:bCs/>
        </w:rPr>
        <w:t xml:space="preserve">соціально – економічного та культурного розвитку </w:t>
      </w:r>
    </w:p>
    <w:p w:rsidR="00412138" w:rsidRPr="00FF259C" w:rsidRDefault="00412138" w:rsidP="00412138">
      <w:pPr>
        <w:pStyle w:val="11"/>
        <w:spacing w:after="0"/>
        <w:ind w:left="0" w:firstLine="720"/>
        <w:jc w:val="center"/>
        <w:rPr>
          <w:b/>
          <w:bCs/>
        </w:rPr>
      </w:pPr>
      <w:r w:rsidRPr="00FF259C">
        <w:rPr>
          <w:b/>
          <w:bCs/>
        </w:rPr>
        <w:t xml:space="preserve">м. Зеленодольська </w:t>
      </w:r>
    </w:p>
    <w:p w:rsidR="00412138" w:rsidRPr="00FF259C" w:rsidRDefault="00412138" w:rsidP="00412138">
      <w:pPr>
        <w:pStyle w:val="11"/>
        <w:spacing w:after="0"/>
        <w:ind w:left="0" w:firstLine="720"/>
        <w:jc w:val="center"/>
        <w:rPr>
          <w:b/>
          <w:bCs/>
        </w:rPr>
      </w:pPr>
      <w:r w:rsidRPr="00FF259C">
        <w:rPr>
          <w:b/>
          <w:bCs/>
        </w:rPr>
        <w:t>на 201</w:t>
      </w:r>
      <w:r w:rsidR="006E4F50" w:rsidRPr="00FF259C">
        <w:rPr>
          <w:b/>
          <w:bCs/>
        </w:rPr>
        <w:t>5</w:t>
      </w:r>
      <w:r w:rsidRPr="00FF259C">
        <w:rPr>
          <w:b/>
          <w:bCs/>
        </w:rPr>
        <w:t xml:space="preserve"> рік </w:t>
      </w:r>
    </w:p>
    <w:p w:rsidR="00412138" w:rsidRPr="00FF259C" w:rsidRDefault="00412138" w:rsidP="00412138">
      <w:pPr>
        <w:pStyle w:val="11"/>
        <w:spacing w:after="0"/>
        <w:ind w:left="0" w:firstLine="720"/>
        <w:jc w:val="center"/>
        <w:rPr>
          <w:b/>
          <w:bCs/>
        </w:rPr>
      </w:pPr>
    </w:p>
    <w:p w:rsidR="00412138" w:rsidRPr="00FF259C" w:rsidRDefault="00412138" w:rsidP="006E4F50"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Загальна характеристика Програми</w:t>
      </w:r>
      <w:r w:rsidR="006E4F50" w:rsidRPr="00FF259C">
        <w:rPr>
          <w:rFonts w:ascii="Times New Roman" w:hAnsi="Times New Roman" w:cs="Times New Roman"/>
          <w:sz w:val="24"/>
          <w:szCs w:val="24"/>
        </w:rPr>
        <w:t xml:space="preserve"> </w:t>
      </w:r>
      <w:r w:rsidRPr="00FF259C">
        <w:rPr>
          <w:rFonts w:ascii="Times New Roman" w:hAnsi="Times New Roman" w:cs="Times New Roman"/>
          <w:sz w:val="24"/>
          <w:szCs w:val="24"/>
        </w:rPr>
        <w:t>соціально-економічного та культурного</w:t>
      </w:r>
      <w:r w:rsidR="006E4F50" w:rsidRPr="00FF259C">
        <w:rPr>
          <w:rFonts w:ascii="Times New Roman" w:hAnsi="Times New Roman" w:cs="Times New Roman"/>
          <w:sz w:val="24"/>
          <w:szCs w:val="24"/>
        </w:rPr>
        <w:t xml:space="preserve"> </w:t>
      </w:r>
      <w:r w:rsidRPr="00FF259C">
        <w:rPr>
          <w:rFonts w:ascii="Times New Roman" w:hAnsi="Times New Roman" w:cs="Times New Roman"/>
          <w:sz w:val="24"/>
          <w:szCs w:val="24"/>
        </w:rPr>
        <w:t xml:space="preserve">розвитку міста </w:t>
      </w:r>
      <w:proofErr w:type="spellStart"/>
      <w:r w:rsidRPr="00FF259C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FF259C">
        <w:rPr>
          <w:rFonts w:ascii="Times New Roman" w:hAnsi="Times New Roman" w:cs="Times New Roman"/>
          <w:sz w:val="24"/>
          <w:szCs w:val="24"/>
        </w:rPr>
        <w:t xml:space="preserve"> на 201</w:t>
      </w:r>
      <w:r w:rsidR="006E4F50" w:rsidRPr="00FF259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 xml:space="preserve">Програма  соціально-економічного розвитку міста </w:t>
      </w:r>
      <w:proofErr w:type="spellStart"/>
      <w:r w:rsidRPr="00FF259C">
        <w:rPr>
          <w:rFonts w:ascii="Times New Roman" w:hAnsi="Times New Roman" w:cs="Times New Roman"/>
          <w:lang w:val="uk-UA"/>
        </w:rPr>
        <w:t>Зеленодольськ</w:t>
      </w:r>
      <w:proofErr w:type="spellEnd"/>
      <w:r w:rsidRPr="00FF259C">
        <w:rPr>
          <w:rFonts w:ascii="Times New Roman" w:hAnsi="Times New Roman" w:cs="Times New Roman"/>
          <w:lang w:val="uk-UA"/>
        </w:rPr>
        <w:t xml:space="preserve"> на 201</w:t>
      </w:r>
      <w:r w:rsidR="00F13EFC" w:rsidRPr="00FF259C">
        <w:rPr>
          <w:rFonts w:ascii="Times New Roman" w:hAnsi="Times New Roman" w:cs="Times New Roman"/>
          <w:lang w:val="uk-UA"/>
        </w:rPr>
        <w:t>5</w:t>
      </w:r>
      <w:r w:rsidRPr="00FF259C">
        <w:rPr>
          <w:rFonts w:ascii="Times New Roman" w:hAnsi="Times New Roman" w:cs="Times New Roman"/>
          <w:lang w:val="uk-UA"/>
        </w:rPr>
        <w:t xml:space="preserve"> рік (надалі Програма) є документом, у якому на основі аналізу розвитку міста у попередні роки визначаються цілі та пріоритети соціально-економічного та культурного розвитку м. </w:t>
      </w:r>
      <w:proofErr w:type="spellStart"/>
      <w:r w:rsidRPr="00FF259C">
        <w:rPr>
          <w:rFonts w:ascii="Times New Roman" w:hAnsi="Times New Roman" w:cs="Times New Roman"/>
          <w:lang w:val="uk-UA"/>
        </w:rPr>
        <w:t>Зеленодольськ</w:t>
      </w:r>
      <w:proofErr w:type="spellEnd"/>
      <w:r w:rsidRPr="00FF259C">
        <w:rPr>
          <w:rFonts w:ascii="Times New Roman" w:hAnsi="Times New Roman" w:cs="Times New Roman"/>
          <w:lang w:val="uk-UA"/>
        </w:rPr>
        <w:t xml:space="preserve"> на 201</w:t>
      </w:r>
      <w:r w:rsidR="00F13EFC" w:rsidRPr="00FF259C">
        <w:rPr>
          <w:rFonts w:ascii="Times New Roman" w:hAnsi="Times New Roman" w:cs="Times New Roman"/>
          <w:lang w:val="uk-UA"/>
        </w:rPr>
        <w:t>5</w:t>
      </w:r>
      <w:r w:rsidRPr="00FF259C">
        <w:rPr>
          <w:rFonts w:ascii="Times New Roman" w:hAnsi="Times New Roman" w:cs="Times New Roman"/>
          <w:lang w:val="uk-UA"/>
        </w:rPr>
        <w:t xml:space="preserve"> рік.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>Програма підготовлена з урахуванням державних пріоритетів щодо реалізації  економічної і соціальної політики в Україні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 xml:space="preserve">Програма формується  відповідно до Закону України «Про місцеве самоврядування в Україні». Підставою для її розроблення є Закон України «Про державне прогнозування та розроблення програм економічного та соціального розвитку України» від 23.03.2000 №1602-III та постанова Кабінету Міністрів України від 26.04.2003 № 621 </w:t>
      </w:r>
      <w:proofErr w:type="spellStart"/>
      <w:r w:rsidRPr="00FF259C">
        <w:rPr>
          <w:rFonts w:ascii="Times New Roman" w:hAnsi="Times New Roman" w:cs="Times New Roman"/>
          <w:lang w:val="uk-UA"/>
        </w:rPr>
        <w:t>“Про</w:t>
      </w:r>
      <w:proofErr w:type="spellEnd"/>
      <w:r w:rsidRPr="00FF259C">
        <w:rPr>
          <w:rFonts w:ascii="Times New Roman" w:hAnsi="Times New Roman" w:cs="Times New Roman"/>
          <w:lang w:val="uk-UA"/>
        </w:rPr>
        <w:t xml:space="preserve"> розроблення прогнозних і програмних документів економічного і соціального розвитку  та складання проекту Державного </w:t>
      </w:r>
      <w:proofErr w:type="spellStart"/>
      <w:r w:rsidRPr="00FF259C">
        <w:rPr>
          <w:rFonts w:ascii="Times New Roman" w:hAnsi="Times New Roman" w:cs="Times New Roman"/>
          <w:lang w:val="uk-UA"/>
        </w:rPr>
        <w:t>бюджету”</w:t>
      </w:r>
      <w:proofErr w:type="spellEnd"/>
      <w:r w:rsidRPr="00FF259C">
        <w:rPr>
          <w:rFonts w:ascii="Times New Roman" w:hAnsi="Times New Roman" w:cs="Times New Roman"/>
          <w:lang w:val="uk-UA"/>
        </w:rPr>
        <w:t xml:space="preserve">. 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>У Програмі визначені цілі, пріоритети та завдання соціально-економічного і культурного розвитку міста у 201</w:t>
      </w:r>
      <w:r w:rsidR="00F13EFC" w:rsidRPr="00FF259C">
        <w:rPr>
          <w:rFonts w:ascii="Times New Roman" w:hAnsi="Times New Roman" w:cs="Times New Roman"/>
          <w:lang w:val="uk-UA"/>
        </w:rPr>
        <w:t>5</w:t>
      </w:r>
      <w:r w:rsidRPr="00FF259C">
        <w:rPr>
          <w:rFonts w:ascii="Times New Roman" w:hAnsi="Times New Roman" w:cs="Times New Roman"/>
          <w:lang w:val="uk-UA"/>
        </w:rPr>
        <w:t xml:space="preserve"> році.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>Основне завдання реалізації Програми – підвищення добробуту населення, вирішення соціальних та соціально-економічних проблем жителів міста, забезпечення подальшого економічного розвитку усіх сфер господарського комплексу міста.</w:t>
      </w:r>
    </w:p>
    <w:p w:rsidR="00412138" w:rsidRPr="00FF259C" w:rsidRDefault="00412138" w:rsidP="00412138">
      <w:pPr>
        <w:pStyle w:val="21"/>
        <w:ind w:right="-1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>Реалізацію намічених пріоритетних напрямків передбачається здійснювати в основному через економічні важелі регулювання та виконання заходів, визначених нормативно-правовими актами Президента України, Кабінету Міністрів України, розпорядженнями голови облдержадміністрації, рішеннями Зеленодольської міської ради та її виконавчого комітету, які спрямовані  на подальший розвиток економіки і вирішення актуальних соціальних проблем.</w:t>
      </w:r>
    </w:p>
    <w:p w:rsidR="00412138" w:rsidRPr="00FF259C" w:rsidRDefault="00412138" w:rsidP="004121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2138" w:rsidRPr="00FF259C" w:rsidRDefault="00412138" w:rsidP="00412138">
      <w:pPr>
        <w:pStyle w:val="5"/>
        <w:ind w:left="0"/>
        <w:rPr>
          <w:rFonts w:ascii="Times New Roman" w:hAnsi="Times New Roman" w:cs="Times New Roman"/>
          <w:sz w:val="24"/>
          <w:szCs w:val="24"/>
        </w:rPr>
      </w:pPr>
      <w:bookmarkStart w:id="0" w:name="_Toc214862611"/>
      <w:r w:rsidRPr="00FF259C">
        <w:rPr>
          <w:rFonts w:ascii="Times New Roman" w:hAnsi="Times New Roman" w:cs="Times New Roman"/>
          <w:sz w:val="24"/>
          <w:szCs w:val="24"/>
        </w:rPr>
        <w:t>Розділ І. Цілі, пріоритети та основні завдання  економічного і</w:t>
      </w:r>
    </w:p>
    <w:p w:rsidR="00412138" w:rsidRPr="00FF259C" w:rsidRDefault="00412138" w:rsidP="00412138">
      <w:pPr>
        <w:pStyle w:val="5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соціального розвитку міста  у 201</w:t>
      </w:r>
      <w:r w:rsidR="00F13EFC" w:rsidRPr="00FF259C">
        <w:rPr>
          <w:rFonts w:ascii="Times New Roman" w:hAnsi="Times New Roman" w:cs="Times New Roman"/>
          <w:sz w:val="24"/>
          <w:szCs w:val="24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році</w:t>
      </w:r>
      <w:bookmarkEnd w:id="0"/>
    </w:p>
    <w:p w:rsidR="00412138" w:rsidRPr="00FF259C" w:rsidRDefault="00412138" w:rsidP="004121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Мета Програми</w:t>
      </w:r>
      <w:r w:rsidRPr="00FF2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F259C">
        <w:rPr>
          <w:rFonts w:ascii="Times New Roman" w:hAnsi="Times New Roman" w:cs="Times New Roman"/>
          <w:sz w:val="24"/>
          <w:szCs w:val="24"/>
        </w:rPr>
        <w:t xml:space="preserve">- забезпечення вирішення соціальних проблем та підвищення рівня життя населення міста </w:t>
      </w:r>
      <w:proofErr w:type="spellStart"/>
      <w:r w:rsidRPr="00FF259C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FF259C">
        <w:rPr>
          <w:rFonts w:ascii="Times New Roman" w:hAnsi="Times New Roman" w:cs="Times New Roman"/>
          <w:sz w:val="24"/>
          <w:szCs w:val="24"/>
        </w:rPr>
        <w:t xml:space="preserve"> за рахунок подальшого розвитку в усіх галузях економіки, соціальної та культурної сфер міста. </w:t>
      </w:r>
    </w:p>
    <w:p w:rsidR="00412138" w:rsidRPr="00FF259C" w:rsidRDefault="00412138" w:rsidP="004121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Забезпечення комплексного збалансованого соціально-економічного розвитку міста є однією із найбільш важливих функцій виконавчого комітету Зеленодольської міської ради в 201</w:t>
      </w:r>
      <w:r w:rsidR="00F13EFC" w:rsidRPr="00FF259C">
        <w:rPr>
          <w:rFonts w:ascii="Times New Roman" w:hAnsi="Times New Roman" w:cs="Times New Roman"/>
          <w:sz w:val="24"/>
          <w:szCs w:val="24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412138" w:rsidRPr="00FF259C" w:rsidRDefault="00412138" w:rsidP="00412138">
      <w:pPr>
        <w:pStyle w:val="4"/>
        <w:tabs>
          <w:tab w:val="right" w:pos="8789"/>
        </w:tabs>
        <w:spacing w:before="0" w:after="0"/>
        <w:ind w:right="-1" w:firstLine="720"/>
        <w:jc w:val="both"/>
        <w:rPr>
          <w:i/>
          <w:iCs/>
          <w:sz w:val="24"/>
          <w:szCs w:val="24"/>
          <w:u w:val="single"/>
        </w:rPr>
      </w:pPr>
      <w:bookmarkStart w:id="1" w:name="_Toc214862612"/>
      <w:r w:rsidRPr="00FF259C">
        <w:rPr>
          <w:i/>
          <w:iCs/>
          <w:sz w:val="24"/>
          <w:szCs w:val="24"/>
          <w:u w:val="single"/>
        </w:rPr>
        <w:t>Основні  пріоритети на 201</w:t>
      </w:r>
      <w:r w:rsidR="00F13EFC" w:rsidRPr="00FF259C">
        <w:rPr>
          <w:i/>
          <w:iCs/>
          <w:sz w:val="24"/>
          <w:szCs w:val="24"/>
          <w:u w:val="single"/>
          <w:lang w:val="ru-RU"/>
        </w:rPr>
        <w:t>5</w:t>
      </w:r>
      <w:r w:rsidRPr="00FF259C">
        <w:rPr>
          <w:i/>
          <w:iCs/>
          <w:sz w:val="24"/>
          <w:szCs w:val="24"/>
          <w:u w:val="single"/>
        </w:rPr>
        <w:t>рік  :</w:t>
      </w:r>
      <w:bookmarkEnd w:id="1"/>
    </w:p>
    <w:p w:rsidR="00412138" w:rsidRPr="00FF259C" w:rsidRDefault="00412138" w:rsidP="00412138">
      <w:pPr>
        <w:pStyle w:val="21"/>
        <w:numPr>
          <w:ilvl w:val="0"/>
          <w:numId w:val="3"/>
        </w:numPr>
        <w:tabs>
          <w:tab w:val="left" w:pos="1080"/>
        </w:tabs>
        <w:ind w:left="0" w:firstLine="720"/>
        <w:rPr>
          <w:rFonts w:ascii="Times New Roman" w:hAnsi="Times New Roman" w:cs="Times New Roman"/>
          <w:lang w:val="uk-UA"/>
        </w:rPr>
      </w:pPr>
      <w:r w:rsidRPr="00FF259C">
        <w:rPr>
          <w:rFonts w:ascii="Times New Roman" w:hAnsi="Times New Roman" w:cs="Times New Roman"/>
          <w:lang w:val="uk-UA"/>
        </w:rPr>
        <w:t>сприяння економічному розвитку міста;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збереження та розвиток соціальної інфраструктури міста;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сприяння розвитку підприємництва в умовах конкуренції;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забезпечення виконання бюджету міста на 201</w:t>
      </w:r>
      <w:r w:rsidR="00F13EFC" w:rsidRPr="00FF259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рік;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підвищення якості соціальних послуг, що надаються населенню міста;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lastRenderedPageBreak/>
        <w:t xml:space="preserve">забезпечення ефективного функціонування та розвитку житлово-комунальної сфери міста, оптимізація структури житлово-комунальних підприємств, подальше запровадження економічно обґрунтованих тарифів;  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створення в місті умов для збереження і зміцнення репродуктивного здоров'я населення,  захисту інвалідів та людей похилого віку, забезпечення розвитку освіти, спорту, культури, відпочинку;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створення умов для культурного і духовного розвитку громади;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-851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підтримання правопорядку в місті.</w:t>
      </w:r>
    </w:p>
    <w:p w:rsidR="00412138" w:rsidRPr="00FF259C" w:rsidRDefault="00412138" w:rsidP="0041213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59C">
        <w:rPr>
          <w:rFonts w:ascii="Times New Roman" w:hAnsi="Times New Roman" w:cs="Times New Roman"/>
          <w:sz w:val="24"/>
          <w:szCs w:val="24"/>
        </w:rPr>
        <w:t>З урахуванням оцінки підсумків розвитку міста в 201</w:t>
      </w:r>
      <w:r w:rsidR="00F13EFC" w:rsidRPr="00FF259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році та визначених пріоритетів, </w:t>
      </w:r>
      <w:r w:rsidRPr="00FF259C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основними завданнями  діяльності в 201</w:t>
      </w:r>
      <w:r w:rsidR="00F13EFC" w:rsidRPr="00FF259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5</w:t>
      </w:r>
      <w:r w:rsidRPr="00FF2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році  є:</w:t>
      </w:r>
      <w:r w:rsidRPr="00FF25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12138" w:rsidRPr="00FF259C" w:rsidRDefault="00412138" w:rsidP="004121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забезпечення життєдіяльності міста, збереження та розвиток соціальної інфраструктури;</w:t>
      </w:r>
    </w:p>
    <w:p w:rsidR="00412138" w:rsidRPr="00FF259C" w:rsidRDefault="00412138" w:rsidP="004121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 xml:space="preserve">всебічне сприяння суб'єктам господарювання, які реалізують або мають намір реалізувати інвестиційні проекти, спрямовані на створення нових робочих місць; </w:t>
      </w:r>
    </w:p>
    <w:p w:rsidR="00412138" w:rsidRPr="00FF259C" w:rsidRDefault="00412138" w:rsidP="004121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реалізація заходів щодо природокористування (екологічної програми міста);</w:t>
      </w:r>
    </w:p>
    <w:p w:rsidR="00412138" w:rsidRPr="00FF259C" w:rsidRDefault="00412138" w:rsidP="004121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 xml:space="preserve">підвищення ефективності системи надання житлово-комунальних послуг у житловому фонді; </w:t>
      </w:r>
    </w:p>
    <w:p w:rsidR="00412138" w:rsidRPr="00FF259C" w:rsidRDefault="00412138" w:rsidP="0041213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 xml:space="preserve">здійснення прозорої тарифної політики у сфері цін/тарифів на житлово-комунальні послуги із забезпеченням беззбиткової діяльності виконавців та виробників послуг; 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підвищення ефективності і якості управління майном права комунальної власності;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 xml:space="preserve">впровадження заходів з </w:t>
      </w:r>
      <w:proofErr w:type="spellStart"/>
      <w:r w:rsidRPr="00FF259C">
        <w:rPr>
          <w:rFonts w:ascii="Times New Roman" w:hAnsi="Times New Roman" w:cs="Times New Roman"/>
          <w:sz w:val="24"/>
          <w:szCs w:val="24"/>
        </w:rPr>
        <w:t>ресурсо-</w:t>
      </w:r>
      <w:proofErr w:type="spellEnd"/>
      <w:r w:rsidRPr="00FF259C">
        <w:rPr>
          <w:rFonts w:ascii="Times New Roman" w:hAnsi="Times New Roman" w:cs="Times New Roman"/>
          <w:sz w:val="24"/>
          <w:szCs w:val="24"/>
        </w:rPr>
        <w:t xml:space="preserve"> та енергозбереження на комунальних підприємствах  та установах, що фінансуються за рахунок коштів міського бюджету;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створення рівних умов для започаткування та ведення бізнесу в умовах конкурентного середовища, сприяння розвиткові початкового та малого підприємництва</w:t>
      </w:r>
    </w:p>
    <w:p w:rsidR="00412138" w:rsidRPr="00FF259C" w:rsidRDefault="00412138" w:rsidP="004121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>впорядкування земельних відносин та територіального розвитку міста.</w:t>
      </w:r>
    </w:p>
    <w:p w:rsidR="00412138" w:rsidRPr="00FF259C" w:rsidRDefault="00412138" w:rsidP="00412138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59C">
        <w:rPr>
          <w:rFonts w:ascii="Times New Roman" w:hAnsi="Times New Roman" w:cs="Times New Roman"/>
          <w:sz w:val="24"/>
          <w:szCs w:val="24"/>
        </w:rPr>
        <w:t>Перелік заходів, що планується здійснити в 201</w:t>
      </w:r>
      <w:r w:rsidR="00F13EFC" w:rsidRPr="00FF259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році </w:t>
      </w:r>
      <w:r w:rsidRPr="00FF259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FF259C">
        <w:rPr>
          <w:rFonts w:ascii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FF259C">
        <w:rPr>
          <w:rFonts w:ascii="Times New Roman" w:hAnsi="Times New Roman" w:cs="Times New Roman"/>
          <w:sz w:val="24"/>
          <w:szCs w:val="24"/>
          <w:lang w:val="ru-RU"/>
        </w:rPr>
        <w:t xml:space="preserve"> бюджету </w:t>
      </w:r>
      <w:proofErr w:type="spellStart"/>
      <w:r w:rsidRPr="00FF259C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FF259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F259C">
        <w:rPr>
          <w:rFonts w:ascii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FF25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259C">
        <w:rPr>
          <w:rFonts w:ascii="Times New Roman" w:hAnsi="Times New Roman" w:cs="Times New Roman"/>
          <w:sz w:val="24"/>
          <w:szCs w:val="24"/>
        </w:rPr>
        <w:t>фонду охорони навколишнього природного середовища наведено в додатку 1 та додатку 2 відповідно.</w:t>
      </w:r>
    </w:p>
    <w:p w:rsidR="00412138" w:rsidRPr="00FF259C" w:rsidRDefault="00412138" w:rsidP="00412138">
      <w:pPr>
        <w:tabs>
          <w:tab w:val="left" w:pos="993"/>
        </w:tabs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F259C">
        <w:rPr>
          <w:rFonts w:ascii="Times New Roman" w:hAnsi="Times New Roman" w:cs="Times New Roman"/>
          <w:b/>
          <w:bCs/>
          <w:sz w:val="24"/>
          <w:szCs w:val="24"/>
        </w:rPr>
        <w:t>Розділ ІІ. Основні напрями соціально-економічного розвитку</w:t>
      </w:r>
    </w:p>
    <w:p w:rsidR="00412138" w:rsidRPr="00FF259C" w:rsidRDefault="00412138" w:rsidP="00412138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 w:rsidRPr="00FF259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FF259C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FF259C">
        <w:rPr>
          <w:rFonts w:ascii="Times New Roman" w:hAnsi="Times New Roman" w:cs="Times New Roman"/>
          <w:sz w:val="24"/>
          <w:szCs w:val="24"/>
        </w:rPr>
        <w:t xml:space="preserve"> у 201</w:t>
      </w:r>
      <w:r w:rsidR="00F13EFC" w:rsidRPr="00FF259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F259C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412138" w:rsidRPr="001A7679" w:rsidRDefault="00412138" w:rsidP="001A7679">
      <w:pPr>
        <w:pStyle w:val="8"/>
        <w:spacing w:before="0" w:after="0"/>
        <w:ind w:firstLine="720"/>
        <w:jc w:val="both"/>
        <w:rPr>
          <w:b/>
          <w:bCs/>
          <w:i w:val="0"/>
          <w:iCs w:val="0"/>
        </w:rPr>
      </w:pPr>
      <w:bookmarkStart w:id="2" w:name="_Toc214862615"/>
      <w:bookmarkStart w:id="3" w:name="_Toc214862627"/>
    </w:p>
    <w:p w:rsidR="00412138" w:rsidRPr="001A7679" w:rsidRDefault="00412138" w:rsidP="001A7679">
      <w:pPr>
        <w:pStyle w:val="8"/>
        <w:spacing w:before="0" w:after="0"/>
        <w:ind w:firstLine="720"/>
        <w:jc w:val="both"/>
        <w:rPr>
          <w:b/>
          <w:bCs/>
          <w:i w:val="0"/>
          <w:iCs w:val="0"/>
        </w:rPr>
      </w:pPr>
      <w:r w:rsidRPr="001A7679">
        <w:rPr>
          <w:b/>
          <w:bCs/>
          <w:i w:val="0"/>
          <w:iCs w:val="0"/>
        </w:rPr>
        <w:t>2.1. Соціальна сфера</w:t>
      </w:r>
      <w:bookmarkEnd w:id="2"/>
    </w:p>
    <w:p w:rsidR="006E4F50" w:rsidRPr="001A7679" w:rsidRDefault="00285F7C" w:rsidP="001A7679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>Зеленодольською міською радою</w:t>
      </w:r>
      <w:r w:rsidR="006E4F50" w:rsidRPr="001A7679">
        <w:rPr>
          <w:rFonts w:ascii="Times New Roman" w:hAnsi="Times New Roman" w:cs="Times New Roman"/>
          <w:sz w:val="24"/>
          <w:szCs w:val="24"/>
          <w:lang w:eastAsia="ru-RU"/>
        </w:rPr>
        <w:t>,виконавчим комітетом, постійно діючими при виконкомі комісіями (опікунська рада, адміністративна комісія, комісія з питань житла), спеціалістами  в 2015 році планується виконувати наступні завдання</w:t>
      </w:r>
      <w:r w:rsidR="00F83F40"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 в соціальній сфері</w:t>
      </w:r>
      <w:r w:rsidR="006E4F50" w:rsidRPr="001A767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4F50" w:rsidRPr="001A7679" w:rsidRDefault="006E4F50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Проведення </w:t>
      </w:r>
      <w:r w:rsidRPr="001A7679">
        <w:rPr>
          <w:rFonts w:ascii="Times New Roman" w:hAnsi="Times New Roman" w:cs="Times New Roman"/>
          <w:sz w:val="24"/>
          <w:szCs w:val="24"/>
        </w:rPr>
        <w:t>профілактичної роботи з  неблагополучними сім’ями;</w:t>
      </w:r>
    </w:p>
    <w:p w:rsidR="00285F7C" w:rsidRPr="001A7679" w:rsidRDefault="006E4F50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41E4" w:rsidRPr="001A7679">
        <w:rPr>
          <w:rFonts w:ascii="Times New Roman" w:hAnsi="Times New Roman" w:cs="Times New Roman"/>
          <w:sz w:val="24"/>
          <w:szCs w:val="24"/>
        </w:rPr>
        <w:t xml:space="preserve">контроль за умовами проживання дітей в цих сім’ях та дітей, які виховуються в сім’ях опікунів, здійснювався контроль за  житловими приміщеннями, в яких зареєстровані  діти, які знаходяться в прийомних сім’ях,  в </w:t>
      </w:r>
      <w:proofErr w:type="spellStart"/>
      <w:r w:rsidR="00B441E4" w:rsidRPr="001A7679">
        <w:rPr>
          <w:rFonts w:ascii="Times New Roman" w:hAnsi="Times New Roman" w:cs="Times New Roman"/>
          <w:sz w:val="24"/>
          <w:szCs w:val="24"/>
        </w:rPr>
        <w:t>інтернатних</w:t>
      </w:r>
      <w:proofErr w:type="spellEnd"/>
      <w:r w:rsidR="00B441E4" w:rsidRPr="001A7679">
        <w:rPr>
          <w:rFonts w:ascii="Times New Roman" w:hAnsi="Times New Roman" w:cs="Times New Roman"/>
          <w:sz w:val="24"/>
          <w:szCs w:val="24"/>
        </w:rPr>
        <w:t xml:space="preserve"> закладах та  під опікою;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</w:rPr>
        <w:t>контроль за використанням аліментів, які сплачуються батьками на дітей;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</w:rPr>
        <w:t>надання довідок  неповнолітнім про майно, житло та близьких родичів;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</w:rPr>
        <w:t>складання актів умов проживання та утримання неповнолітніх дітей;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складання </w:t>
      </w:r>
      <w:r w:rsidRPr="001A7679">
        <w:rPr>
          <w:rFonts w:ascii="Times New Roman" w:hAnsi="Times New Roman" w:cs="Times New Roman"/>
          <w:sz w:val="24"/>
          <w:szCs w:val="24"/>
        </w:rPr>
        <w:t xml:space="preserve">актів обстеження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- побутових умов проживання недієздатних громадян;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>консультаційна та інша допомога з житлових питань;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консультаційна допомога та допомога в оформлені довідок багатодітним сім</w:t>
      </w:r>
      <w:r w:rsidRPr="001A7679">
        <w:rPr>
          <w:rFonts w:ascii="Times New Roman" w:hAnsi="Times New Roman" w:cs="Times New Roman"/>
          <w:sz w:val="24"/>
          <w:szCs w:val="24"/>
          <w:lang w:val="ru-RU" w:eastAsia="ru-RU"/>
        </w:rPr>
        <w:t>’я</w:t>
      </w:r>
      <w:r w:rsidRPr="001A7679">
        <w:rPr>
          <w:rFonts w:ascii="Times New Roman" w:hAnsi="Times New Roman" w:cs="Times New Roman"/>
          <w:sz w:val="24"/>
          <w:szCs w:val="24"/>
          <w:lang w:eastAsia="ru-RU"/>
        </w:rPr>
        <w:t>м;</w:t>
      </w:r>
    </w:p>
    <w:p w:rsidR="00B441E4" w:rsidRPr="001A7679" w:rsidRDefault="00B441E4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>консультаційна допомога та допомога в оформлені довідок тимчасово-переселеним із зони АТО особам;</w:t>
      </w:r>
    </w:p>
    <w:p w:rsidR="00F83F40" w:rsidRPr="001A7679" w:rsidRDefault="00F83F40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>оформлення довідок необхідних для отримання соціальних виплат та реєстрації в Апостолівському районному центрі зайнятості</w:t>
      </w:r>
      <w:bookmarkStart w:id="4" w:name="_Toc214862621"/>
    </w:p>
    <w:p w:rsidR="00F83F40" w:rsidRPr="001A7679" w:rsidRDefault="00F83F40" w:rsidP="001A7679">
      <w:pPr>
        <w:pStyle w:val="ac"/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</w:rPr>
        <w:t>Інша консультаційна допомога.</w:t>
      </w:r>
    </w:p>
    <w:p w:rsidR="00523287" w:rsidRPr="001A7679" w:rsidRDefault="00523287" w:rsidP="001A76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З метою створення умов для надання матеріальної допомоги мало захищеним верствам населення,  розроблено   </w:t>
      </w:r>
      <w:r w:rsidRPr="001A7679">
        <w:rPr>
          <w:rFonts w:ascii="Times New Roman" w:hAnsi="Times New Roman" w:cs="Times New Roman"/>
          <w:b/>
          <w:sz w:val="24"/>
          <w:szCs w:val="24"/>
        </w:rPr>
        <w:t xml:space="preserve">Міську програму </w:t>
      </w:r>
      <w:r w:rsidRPr="001A7679">
        <w:rPr>
          <w:rFonts w:ascii="Times New Roman" w:hAnsi="Times New Roman" w:cs="Times New Roman"/>
          <w:b/>
          <w:color w:val="000000"/>
          <w:sz w:val="24"/>
          <w:szCs w:val="24"/>
        </w:rPr>
        <w:t>матеріальної допомоги населенню Зеленодольської  міської ради</w:t>
      </w:r>
      <w:r w:rsidR="001A7679">
        <w:rPr>
          <w:rFonts w:ascii="Times New Roman" w:hAnsi="Times New Roman" w:cs="Times New Roman"/>
          <w:sz w:val="24"/>
          <w:szCs w:val="24"/>
        </w:rPr>
        <w:t>:</w:t>
      </w:r>
      <w:r w:rsidRPr="001A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FC" w:rsidRPr="001A7679" w:rsidRDefault="00F13EFC" w:rsidP="001A767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надання матеріальної допомоги на лікування</w:t>
      </w:r>
      <w:r w:rsidR="00523287" w:rsidRPr="001A7679">
        <w:rPr>
          <w:rFonts w:ascii="Times New Roman" w:hAnsi="Times New Roman" w:cs="Times New Roman"/>
          <w:sz w:val="24"/>
          <w:szCs w:val="24"/>
        </w:rPr>
        <w:t>;</w:t>
      </w:r>
    </w:p>
    <w:p w:rsidR="00F13EFC" w:rsidRPr="001A7679" w:rsidRDefault="00F13EFC" w:rsidP="001A767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надання матеріальної допомоги малозабезпеченим громадянам на вирішення соціально-побутових проблем</w:t>
      </w:r>
      <w:r w:rsidR="00523287" w:rsidRPr="001A7679">
        <w:rPr>
          <w:rFonts w:ascii="Times New Roman" w:hAnsi="Times New Roman" w:cs="Times New Roman"/>
          <w:sz w:val="24"/>
          <w:szCs w:val="24"/>
        </w:rPr>
        <w:t>;</w:t>
      </w:r>
      <w:r w:rsidRPr="001A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FC" w:rsidRPr="001A7679" w:rsidRDefault="00F13EFC" w:rsidP="001A767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надання допомоги на поховання громадян, які на момент смерті не досягли пенсійного віку, не працювали і не перебували на обліку в центрі зайнятості населення</w:t>
      </w:r>
      <w:r w:rsidR="00523287" w:rsidRPr="001A7679">
        <w:rPr>
          <w:rFonts w:ascii="Times New Roman" w:hAnsi="Times New Roman" w:cs="Times New Roman"/>
          <w:sz w:val="24"/>
          <w:szCs w:val="24"/>
        </w:rPr>
        <w:t>;</w:t>
      </w:r>
    </w:p>
    <w:p w:rsidR="001A7679" w:rsidRDefault="00F13EFC" w:rsidP="001A767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надання матеріальної допомоги учасникам антитерористичної операції, мобілізованим та членам їх сімей.</w:t>
      </w:r>
      <w:bookmarkEnd w:id="4"/>
    </w:p>
    <w:p w:rsidR="00E949DA" w:rsidRPr="001A7679" w:rsidRDefault="00E949DA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Загальний обсяг фінансування програми 60000грн. </w:t>
      </w:r>
    </w:p>
    <w:p w:rsidR="00E949DA" w:rsidRPr="001A7679" w:rsidRDefault="00E949DA" w:rsidP="001A7679">
      <w:pPr>
        <w:pStyle w:val="a9"/>
        <w:jc w:val="both"/>
        <w:rPr>
          <w:b/>
          <w:szCs w:val="24"/>
        </w:rPr>
      </w:pPr>
      <w:r w:rsidRPr="001A7679">
        <w:rPr>
          <w:iCs/>
          <w:szCs w:val="24"/>
        </w:rPr>
        <w:t xml:space="preserve">   З метою підтримки та розвитку Комунального закладу</w:t>
      </w:r>
      <w:r w:rsidRPr="001A7679">
        <w:rPr>
          <w:i/>
          <w:iCs/>
          <w:szCs w:val="24"/>
        </w:rPr>
        <w:t xml:space="preserve"> «</w:t>
      </w:r>
      <w:r w:rsidRPr="001A7679">
        <w:rPr>
          <w:szCs w:val="24"/>
        </w:rPr>
        <w:t xml:space="preserve">Зеленодольський центр первинної медико-санітарної допомоги» розроблено </w:t>
      </w:r>
      <w:r w:rsidR="001A7679" w:rsidRPr="001A7679">
        <w:rPr>
          <w:b/>
          <w:szCs w:val="24"/>
        </w:rPr>
        <w:t>М</w:t>
      </w:r>
      <w:r w:rsidRPr="001A7679">
        <w:rPr>
          <w:b/>
          <w:szCs w:val="24"/>
        </w:rPr>
        <w:t>іську програму забезпечення розвитку і функціонування комунального закладу  «Зеленодольський центр первинної медико-санітарної допомоги»  на 2015 рік:</w:t>
      </w:r>
    </w:p>
    <w:p w:rsidR="00E949DA" w:rsidRPr="001A7679" w:rsidRDefault="00E949DA" w:rsidP="001A7679">
      <w:pPr>
        <w:pStyle w:val="a9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6766"/>
        <w:gridCol w:w="1421"/>
      </w:tblGrid>
      <w:tr w:rsidR="00E949DA" w:rsidRPr="001A7679" w:rsidTr="00E949DA">
        <w:trPr>
          <w:trHeight w:val="415"/>
        </w:trPr>
        <w:tc>
          <w:tcPr>
            <w:tcW w:w="993" w:type="dxa"/>
          </w:tcPr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 xml:space="preserve">№ </w:t>
            </w:r>
            <w:r w:rsidR="00CB5987" w:rsidRPr="001A7679">
              <w:rPr>
                <w:szCs w:val="24"/>
              </w:rPr>
              <w:t>з</w:t>
            </w:r>
            <w:r w:rsidRPr="001A7679">
              <w:rPr>
                <w:szCs w:val="24"/>
              </w:rPr>
              <w:t>/п</w:t>
            </w:r>
          </w:p>
        </w:tc>
        <w:tc>
          <w:tcPr>
            <w:tcW w:w="6766" w:type="dxa"/>
          </w:tcPr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Найменування</w:t>
            </w:r>
          </w:p>
        </w:tc>
        <w:tc>
          <w:tcPr>
            <w:tcW w:w="1421" w:type="dxa"/>
          </w:tcPr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Сума (грн.)</w:t>
            </w:r>
          </w:p>
        </w:tc>
      </w:tr>
      <w:tr w:rsidR="00E949DA" w:rsidRPr="001A7679" w:rsidTr="00E949DA">
        <w:trPr>
          <w:trHeight w:val="724"/>
        </w:trPr>
        <w:tc>
          <w:tcPr>
            <w:tcW w:w="993" w:type="dxa"/>
            <w:tcBorders>
              <w:top w:val="nil"/>
            </w:tcBorders>
          </w:tcPr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1.</w:t>
            </w:r>
          </w:p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2.</w:t>
            </w:r>
          </w:p>
        </w:tc>
        <w:tc>
          <w:tcPr>
            <w:tcW w:w="6766" w:type="dxa"/>
          </w:tcPr>
          <w:p w:rsidR="00E949DA" w:rsidRPr="001A7679" w:rsidRDefault="00E949DA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Поточний ремонт автомобілю</w:t>
            </w:r>
          </w:p>
          <w:p w:rsidR="00E949DA" w:rsidRPr="001A7679" w:rsidRDefault="00E949DA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Сплата земельного податку</w:t>
            </w:r>
          </w:p>
        </w:tc>
        <w:tc>
          <w:tcPr>
            <w:tcW w:w="1421" w:type="dxa"/>
          </w:tcPr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7125,00</w:t>
            </w:r>
          </w:p>
          <w:p w:rsidR="00E949DA" w:rsidRPr="001A7679" w:rsidRDefault="00E949DA" w:rsidP="001A7679">
            <w:pPr>
              <w:pStyle w:val="a9"/>
              <w:rPr>
                <w:szCs w:val="24"/>
              </w:rPr>
            </w:pPr>
            <w:r w:rsidRPr="001A7679">
              <w:rPr>
                <w:szCs w:val="24"/>
              </w:rPr>
              <w:t>8550,00</w:t>
            </w:r>
          </w:p>
        </w:tc>
      </w:tr>
    </w:tbl>
    <w:p w:rsidR="00E949DA" w:rsidRPr="001A7679" w:rsidRDefault="00E949DA" w:rsidP="001A7679">
      <w:pPr>
        <w:pStyle w:val="a9"/>
        <w:jc w:val="both"/>
        <w:rPr>
          <w:szCs w:val="24"/>
        </w:rPr>
      </w:pPr>
      <w:r w:rsidRPr="001A7679">
        <w:rPr>
          <w:szCs w:val="24"/>
        </w:rPr>
        <w:t>Загальний обсяг фінансування програми: 15675,00 грн. за рахунок коштів загального фонду бюджету</w:t>
      </w:r>
    </w:p>
    <w:p w:rsidR="000336D7" w:rsidRPr="001A7679" w:rsidRDefault="00412138" w:rsidP="001A7679">
      <w:pPr>
        <w:pStyle w:val="a9"/>
        <w:jc w:val="both"/>
        <w:rPr>
          <w:b/>
          <w:szCs w:val="24"/>
        </w:rPr>
      </w:pPr>
      <w:r w:rsidRPr="001A7679">
        <w:rPr>
          <w:i/>
          <w:iCs/>
          <w:szCs w:val="24"/>
        </w:rPr>
        <w:tab/>
      </w:r>
      <w:r w:rsidR="000336D7" w:rsidRPr="001A7679">
        <w:rPr>
          <w:i/>
          <w:iCs/>
          <w:szCs w:val="24"/>
        </w:rPr>
        <w:t xml:space="preserve">З метою </w:t>
      </w:r>
      <w:r w:rsidR="000336D7" w:rsidRPr="001A7679">
        <w:rPr>
          <w:szCs w:val="24"/>
        </w:rPr>
        <w:t xml:space="preserve">забезпечення функціонування Зеленодольської територіальної громадської організації пенсіонерів </w:t>
      </w:r>
      <w:proofErr w:type="spellStart"/>
      <w:r w:rsidR="000336D7" w:rsidRPr="001A7679">
        <w:rPr>
          <w:szCs w:val="24"/>
        </w:rPr>
        <w:t>“Ветеран”</w:t>
      </w:r>
      <w:proofErr w:type="spellEnd"/>
      <w:r w:rsidR="000336D7" w:rsidRPr="001A7679">
        <w:rPr>
          <w:szCs w:val="24"/>
        </w:rPr>
        <w:t xml:space="preserve">, надання матеріальної допомоги малозабезпеченим ветеранам війни і праці, розроблено </w:t>
      </w:r>
      <w:r w:rsidR="001A7679" w:rsidRPr="001A7679">
        <w:rPr>
          <w:b/>
          <w:szCs w:val="24"/>
        </w:rPr>
        <w:t>М</w:t>
      </w:r>
      <w:r w:rsidR="000336D7" w:rsidRPr="001A7679">
        <w:rPr>
          <w:b/>
          <w:szCs w:val="24"/>
        </w:rPr>
        <w:t xml:space="preserve">іську програму фінансової підтримки Зеленодольської територіальної громадської організації пенсіонерів </w:t>
      </w:r>
      <w:proofErr w:type="spellStart"/>
      <w:r w:rsidR="000336D7" w:rsidRPr="001A7679">
        <w:rPr>
          <w:b/>
          <w:szCs w:val="24"/>
        </w:rPr>
        <w:t>“Ветеран”</w:t>
      </w:r>
      <w:proofErr w:type="spellEnd"/>
      <w:r w:rsidR="001A7679">
        <w:rPr>
          <w:b/>
          <w:szCs w:val="24"/>
        </w:rPr>
        <w:t xml:space="preserve"> </w:t>
      </w:r>
      <w:r w:rsidR="000336D7" w:rsidRPr="001A7679">
        <w:rPr>
          <w:b/>
          <w:szCs w:val="24"/>
        </w:rPr>
        <w:t>м. Зеленодольська на 2015 рік</w:t>
      </w:r>
      <w:r w:rsidR="000336D7" w:rsidRPr="001A7679">
        <w:rPr>
          <w:szCs w:val="24"/>
        </w:rPr>
        <w:t>. Загальний обсяг фінансування програми: 10000 грн. за рахунок загального фонду бюджету Зеленодольської міської ради</w:t>
      </w:r>
    </w:p>
    <w:p w:rsidR="00412138" w:rsidRPr="001A7679" w:rsidRDefault="00523287" w:rsidP="001A7679">
      <w:pPr>
        <w:pStyle w:val="11"/>
        <w:spacing w:after="0"/>
        <w:ind w:left="0" w:firstLine="720"/>
        <w:jc w:val="both"/>
      </w:pPr>
      <w:r w:rsidRPr="001A7679">
        <w:t>М</w:t>
      </w:r>
      <w:r w:rsidR="00412138" w:rsidRPr="001A7679">
        <w:t xml:space="preserve">іська молодіжна політика буде спрямована на створення економічних, правових, організаційних умов та гарантій для самореалізації кожної молодої людини, реалізації її потенціалу в усіх сферах суспільного життя. Планується приймати участь та підтримувати молодіжні проекти з реалізації </w:t>
      </w:r>
      <w:r w:rsidR="00F13EFC" w:rsidRPr="001A7679">
        <w:t>фестивалів</w:t>
      </w:r>
      <w:r w:rsidR="00412138" w:rsidRPr="001A7679">
        <w:t>, що направлені на агітацію здорового способу життя.</w:t>
      </w:r>
    </w:p>
    <w:p w:rsidR="00412138" w:rsidRPr="001A7679" w:rsidRDefault="00412138" w:rsidP="001A7679">
      <w:pPr>
        <w:pStyle w:val="a5"/>
        <w:spacing w:after="0" w:line="240" w:lineRule="auto"/>
        <w:ind w:firstLine="720"/>
        <w:jc w:val="both"/>
        <w:rPr>
          <w:b/>
          <w:bCs/>
        </w:rPr>
      </w:pPr>
      <w:r w:rsidRPr="001A7679">
        <w:rPr>
          <w:b/>
          <w:bCs/>
        </w:rPr>
        <w:t>Основні завдання та заходи на 201</w:t>
      </w:r>
      <w:r w:rsidR="00F83F40" w:rsidRPr="001A7679">
        <w:rPr>
          <w:b/>
          <w:bCs/>
          <w:lang w:val="ru-RU"/>
        </w:rPr>
        <w:t>5</w:t>
      </w:r>
      <w:r w:rsidRPr="001A7679">
        <w:rPr>
          <w:b/>
          <w:bCs/>
        </w:rPr>
        <w:t xml:space="preserve"> рік:</w:t>
      </w:r>
    </w:p>
    <w:p w:rsidR="00412138" w:rsidRPr="001A7679" w:rsidRDefault="00412138" w:rsidP="001A7679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проведення зустрічей з представниками об’єднань громадян, діяльність яких спрямована на становлення і підтримку молоді;</w:t>
      </w:r>
    </w:p>
    <w:p w:rsidR="00412138" w:rsidRPr="001A7679" w:rsidRDefault="00412138" w:rsidP="001A7679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організація та проведення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освітньо-виховних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>, культурологічних та мистецьких заходів, спрямованих на розвиток творчого, інтелектуального  та духовного розвитку молоді;</w:t>
      </w:r>
      <w:bookmarkStart w:id="5" w:name="_Toc214862624"/>
    </w:p>
    <w:p w:rsidR="00412138" w:rsidRPr="001A7679" w:rsidRDefault="00412138" w:rsidP="001A7679">
      <w:pPr>
        <w:pStyle w:val="4"/>
        <w:tabs>
          <w:tab w:val="right" w:pos="8789"/>
        </w:tabs>
        <w:spacing w:before="0" w:after="0"/>
        <w:ind w:firstLine="709"/>
        <w:rPr>
          <w:iCs/>
          <w:sz w:val="24"/>
          <w:szCs w:val="24"/>
        </w:rPr>
      </w:pPr>
      <w:r w:rsidRPr="001A7679">
        <w:rPr>
          <w:iCs/>
          <w:sz w:val="24"/>
          <w:szCs w:val="24"/>
        </w:rPr>
        <w:t>Освіта</w:t>
      </w:r>
      <w:bookmarkEnd w:id="5"/>
      <w:r w:rsidR="00F83F40" w:rsidRPr="001A7679">
        <w:rPr>
          <w:iCs/>
          <w:sz w:val="24"/>
          <w:szCs w:val="24"/>
        </w:rPr>
        <w:t>:</w:t>
      </w:r>
    </w:p>
    <w:p w:rsidR="00412138" w:rsidRPr="001A7679" w:rsidRDefault="00412138" w:rsidP="001A76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Мережа дошкільних навчальних закладів буде збережена на рівні </w:t>
      </w:r>
      <w:r w:rsidRPr="001A7679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523287" w:rsidRPr="001A767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A7679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:rsidR="00412138" w:rsidRPr="001A7679" w:rsidRDefault="00412138" w:rsidP="001A7679">
      <w:pPr>
        <w:spacing w:after="0"/>
        <w:ind w:firstLine="720"/>
        <w:jc w:val="both"/>
        <w:rPr>
          <w:rFonts w:ascii="Times New Roman" w:hAnsi="Times New Roman" w:cs="Times New Roman"/>
          <w:spacing w:val="6"/>
          <w:sz w:val="24"/>
          <w:szCs w:val="24"/>
          <w:u w:val="single"/>
        </w:rPr>
      </w:pPr>
      <w:r w:rsidRPr="001A7679">
        <w:rPr>
          <w:rFonts w:ascii="Times New Roman" w:hAnsi="Times New Roman" w:cs="Times New Roman"/>
          <w:spacing w:val="6"/>
          <w:sz w:val="24"/>
          <w:szCs w:val="24"/>
          <w:u w:val="single"/>
        </w:rPr>
        <w:t>У дошкільній освіті:</w:t>
      </w:r>
    </w:p>
    <w:p w:rsidR="00412138" w:rsidRPr="001A7679" w:rsidRDefault="00412138" w:rsidP="001A76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Забезпечення якісної та доступної дошкільної освіти:</w:t>
      </w:r>
    </w:p>
    <w:p w:rsidR="00412138" w:rsidRPr="001A7679" w:rsidRDefault="00412138" w:rsidP="001A7679">
      <w:pPr>
        <w:numPr>
          <w:ilvl w:val="1"/>
          <w:numId w:val="6"/>
        </w:numPr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lastRenderedPageBreak/>
        <w:t xml:space="preserve">охоплення дошкільною освітою, не менше 75%, дітей відповідного віку, які проживають у м.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>;</w:t>
      </w:r>
    </w:p>
    <w:p w:rsidR="00523287" w:rsidRPr="001A7679" w:rsidRDefault="00412138" w:rsidP="001A7679">
      <w:pPr>
        <w:numPr>
          <w:ilvl w:val="1"/>
          <w:numId w:val="6"/>
        </w:numPr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оптимізація роботи мережі дошкільних навчальних закладів</w:t>
      </w:r>
    </w:p>
    <w:p w:rsidR="00412138" w:rsidRPr="001A7679" w:rsidRDefault="00523287" w:rsidP="001A767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 </w:t>
      </w:r>
      <w:r w:rsidR="00412138" w:rsidRPr="001A7679">
        <w:rPr>
          <w:rFonts w:ascii="Times New Roman" w:hAnsi="Times New Roman" w:cs="Times New Roman"/>
          <w:sz w:val="24"/>
          <w:szCs w:val="24"/>
        </w:rPr>
        <w:t>Бюджетом Зеленодольської міської ради на 201</w:t>
      </w:r>
      <w:r w:rsidR="00CB5987" w:rsidRPr="001A7679">
        <w:rPr>
          <w:rFonts w:ascii="Times New Roman" w:hAnsi="Times New Roman" w:cs="Times New Roman"/>
          <w:sz w:val="24"/>
          <w:szCs w:val="24"/>
        </w:rPr>
        <w:t>5</w:t>
      </w:r>
      <w:r w:rsidR="00412138" w:rsidRPr="001A7679">
        <w:rPr>
          <w:rFonts w:ascii="Times New Roman" w:hAnsi="Times New Roman" w:cs="Times New Roman"/>
          <w:sz w:val="24"/>
          <w:szCs w:val="24"/>
        </w:rPr>
        <w:t xml:space="preserve">р. на утримання трьох дошкільних навчальних закладів виділяються кошти із загального та спеціального фонду бюджету. </w:t>
      </w:r>
    </w:p>
    <w:p w:rsidR="00CB5987" w:rsidRPr="001A7679" w:rsidRDefault="00CB5987" w:rsidP="001A7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79">
        <w:rPr>
          <w:rFonts w:ascii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Pr="001A7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7679">
        <w:rPr>
          <w:rFonts w:ascii="Times New Roman" w:hAnsi="Times New Roman" w:cs="Times New Roman"/>
          <w:sz w:val="24"/>
          <w:szCs w:val="24"/>
          <w:lang w:val="ru-RU"/>
        </w:rPr>
        <w:t>загального</w:t>
      </w:r>
      <w:proofErr w:type="spellEnd"/>
      <w:r w:rsidRPr="001A7679">
        <w:rPr>
          <w:rFonts w:ascii="Times New Roman" w:hAnsi="Times New Roman" w:cs="Times New Roman"/>
          <w:sz w:val="24"/>
          <w:szCs w:val="24"/>
          <w:lang w:val="ru-RU"/>
        </w:rPr>
        <w:t xml:space="preserve"> фонду бюджету </w:t>
      </w:r>
      <w:r w:rsidRPr="001A7679">
        <w:rPr>
          <w:rFonts w:ascii="Times New Roman" w:hAnsi="Times New Roman" w:cs="Times New Roman"/>
          <w:sz w:val="24"/>
          <w:szCs w:val="24"/>
        </w:rPr>
        <w:t>буде спрямовано на виплату заробітної плати працівникам дошкільних навчальних закладів, оплату комунальних послуг та організацію харчування дітей.</w:t>
      </w:r>
    </w:p>
    <w:p w:rsidR="00412138" w:rsidRPr="001A7679" w:rsidRDefault="00412138" w:rsidP="001A767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679">
        <w:rPr>
          <w:rFonts w:ascii="Times New Roman" w:hAnsi="Times New Roman" w:cs="Times New Roman"/>
          <w:sz w:val="24"/>
          <w:szCs w:val="24"/>
          <w:lang w:val="ru-RU"/>
        </w:rPr>
        <w:t>Перелі</w:t>
      </w:r>
      <w:proofErr w:type="gramStart"/>
      <w:r w:rsidRPr="001A7679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End"/>
      <w:proofErr w:type="gramEnd"/>
      <w:r w:rsidRPr="001A76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7679">
        <w:rPr>
          <w:rFonts w:ascii="Times New Roman" w:hAnsi="Times New Roman" w:cs="Times New Roman"/>
          <w:sz w:val="24"/>
          <w:szCs w:val="24"/>
          <w:lang w:val="ru-RU"/>
        </w:rPr>
        <w:t>заход</w:t>
      </w:r>
      <w:proofErr w:type="spellStart"/>
      <w:proofErr w:type="gramEnd"/>
      <w:r w:rsidRPr="001A7679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, що плануються провести за кошти </w:t>
      </w:r>
      <w:r w:rsidR="00CB5987" w:rsidRPr="001A7679">
        <w:rPr>
          <w:rFonts w:ascii="Times New Roman" w:hAnsi="Times New Roman" w:cs="Times New Roman"/>
          <w:sz w:val="24"/>
          <w:szCs w:val="24"/>
        </w:rPr>
        <w:t>спеціального фонду бюджету:</w:t>
      </w:r>
    </w:p>
    <w:tbl>
      <w:tblPr>
        <w:tblStyle w:val="ab"/>
        <w:tblW w:w="0" w:type="auto"/>
        <w:tblLook w:val="04A0"/>
      </w:tblPr>
      <w:tblGrid>
        <w:gridCol w:w="534"/>
        <w:gridCol w:w="4819"/>
        <w:gridCol w:w="936"/>
        <w:gridCol w:w="992"/>
        <w:gridCol w:w="1508"/>
      </w:tblGrid>
      <w:tr w:rsidR="00CB5987" w:rsidRPr="001A7679" w:rsidTr="00F83F40">
        <w:tc>
          <w:tcPr>
            <w:tcW w:w="534" w:type="dxa"/>
            <w:tcBorders>
              <w:righ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851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992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1508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</w:p>
        </w:tc>
      </w:tr>
      <w:tr w:rsidR="00CB5987" w:rsidRPr="001A7679" w:rsidTr="00F83F40">
        <w:tc>
          <w:tcPr>
            <w:tcW w:w="534" w:type="dxa"/>
            <w:tcBorders>
              <w:righ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покрівлі господарчих будівель ДНЗ "Росинка»</w:t>
            </w:r>
          </w:p>
        </w:tc>
        <w:tc>
          <w:tcPr>
            <w:tcW w:w="851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070101</w:t>
            </w:r>
          </w:p>
        </w:tc>
        <w:tc>
          <w:tcPr>
            <w:tcW w:w="992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508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97438,00 ( в т.ч. борг 43194,94 грн.)</w:t>
            </w:r>
          </w:p>
        </w:tc>
      </w:tr>
      <w:tr w:rsidR="00CB5987" w:rsidRPr="001A7679" w:rsidTr="00F83F40">
        <w:tc>
          <w:tcPr>
            <w:tcW w:w="534" w:type="dxa"/>
            <w:tcBorders>
              <w:righ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по заміні вікон "Попелюшка" (авторський нагляд)</w:t>
            </w:r>
          </w:p>
        </w:tc>
        <w:tc>
          <w:tcPr>
            <w:tcW w:w="851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070101</w:t>
            </w:r>
          </w:p>
        </w:tc>
        <w:tc>
          <w:tcPr>
            <w:tcW w:w="992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508" w:type="dxa"/>
          </w:tcPr>
          <w:p w:rsidR="00CB5987" w:rsidRPr="001A7679" w:rsidRDefault="00CB5987" w:rsidP="001A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772,40  (борг 2014)</w:t>
            </w:r>
          </w:p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987" w:rsidRPr="001A7679" w:rsidTr="00F83F40">
        <w:tc>
          <w:tcPr>
            <w:tcW w:w="534" w:type="dxa"/>
            <w:tcBorders>
              <w:righ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Розробка проектно-кошторисної документації по утепленню стін будівлі ДНЗ "Попелюшка"</w:t>
            </w:r>
          </w:p>
        </w:tc>
        <w:tc>
          <w:tcPr>
            <w:tcW w:w="851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070101</w:t>
            </w:r>
          </w:p>
        </w:tc>
        <w:tc>
          <w:tcPr>
            <w:tcW w:w="992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508" w:type="dxa"/>
          </w:tcPr>
          <w:p w:rsidR="00CB5987" w:rsidRPr="001A7679" w:rsidRDefault="00CB5987" w:rsidP="001A7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33545,00</w:t>
            </w:r>
          </w:p>
        </w:tc>
      </w:tr>
    </w:tbl>
    <w:p w:rsidR="00CB5987" w:rsidRPr="001A7679" w:rsidRDefault="00CB5987" w:rsidP="001A76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679">
        <w:rPr>
          <w:rFonts w:ascii="Times New Roman" w:hAnsi="Times New Roman" w:cs="Times New Roman"/>
          <w:bCs/>
          <w:sz w:val="24"/>
          <w:szCs w:val="24"/>
        </w:rPr>
        <w:t>Загальна вартість заходів, що плануються до проведення і фінансуються із спеціального фонду бюджету Зеленодольської міської ради по дошкільним навчальним закладам міста складає 131755,40грн.</w:t>
      </w:r>
    </w:p>
    <w:p w:rsidR="00CB5987" w:rsidRPr="001A7679" w:rsidRDefault="00CB5987" w:rsidP="001A7679">
      <w:pPr>
        <w:pStyle w:val="8"/>
        <w:spacing w:before="0" w:after="0"/>
        <w:ind w:firstLine="720"/>
        <w:jc w:val="both"/>
        <w:rPr>
          <w:b/>
          <w:bCs/>
          <w:i w:val="0"/>
          <w:iCs w:val="0"/>
        </w:rPr>
      </w:pPr>
      <w:r w:rsidRPr="001A7679">
        <w:rPr>
          <w:b/>
          <w:bCs/>
          <w:i w:val="0"/>
          <w:iCs w:val="0"/>
        </w:rPr>
        <w:t xml:space="preserve">Культура: </w:t>
      </w:r>
    </w:p>
    <w:p w:rsidR="00CB5987" w:rsidRPr="001A7679" w:rsidRDefault="00CB5987" w:rsidP="001A76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На території Зеленодольської міської ради функціонує Палац культури «Ювілейний», міська бібліотека для дорослих та міська бібліотека для дітей, в 2015 році бюджетом Зеленодольської міської ради передбачено видатки на утримання закладів культури (виплата заробітної плати, оплата комунальних послуг, інші послуги необхідні для забезпечення функціонування закладів культури). </w:t>
      </w:r>
    </w:p>
    <w:p w:rsidR="00CB5987" w:rsidRPr="001A7679" w:rsidRDefault="00CB5987" w:rsidP="001A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  <w:lang w:eastAsia="ru-RU"/>
        </w:rPr>
        <w:t xml:space="preserve">З спеціального фонду бюджету Зеленодольської міської ради буде профінансовано </w:t>
      </w:r>
      <w:r w:rsidR="000E3BEC" w:rsidRPr="001A7679">
        <w:rPr>
          <w:rFonts w:ascii="Times New Roman" w:hAnsi="Times New Roman" w:cs="Times New Roman"/>
          <w:sz w:val="24"/>
          <w:szCs w:val="24"/>
        </w:rPr>
        <w:t xml:space="preserve">реконструкцію системи вентиляції будівлі Палацу культури "Ювілейний" по </w:t>
      </w:r>
      <w:proofErr w:type="spellStart"/>
      <w:r w:rsidR="000E3BEC" w:rsidRPr="001A7679">
        <w:rPr>
          <w:rFonts w:ascii="Times New Roman" w:hAnsi="Times New Roman" w:cs="Times New Roman"/>
          <w:sz w:val="24"/>
          <w:szCs w:val="24"/>
        </w:rPr>
        <w:t>вул.Комсомольська</w:t>
      </w:r>
      <w:proofErr w:type="spellEnd"/>
      <w:r w:rsidR="000E3BEC" w:rsidRPr="001A7679">
        <w:rPr>
          <w:rFonts w:ascii="Times New Roman" w:hAnsi="Times New Roman" w:cs="Times New Roman"/>
          <w:sz w:val="24"/>
          <w:szCs w:val="24"/>
        </w:rPr>
        <w:t xml:space="preserve">,6 з влаштуванням системи кондиціювання на суму 38022,00грн. </w:t>
      </w:r>
    </w:p>
    <w:p w:rsidR="001A7679" w:rsidRPr="001A7679" w:rsidRDefault="001A7679" w:rsidP="001A76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A7679">
        <w:rPr>
          <w:rFonts w:ascii="Times New Roman" w:hAnsi="Times New Roman" w:cs="Times New Roman"/>
          <w:b/>
          <w:sz w:val="24"/>
          <w:szCs w:val="24"/>
        </w:rPr>
        <w:t xml:space="preserve">Спорт: </w:t>
      </w:r>
    </w:p>
    <w:p w:rsidR="001A7679" w:rsidRDefault="001A7679" w:rsidP="001A7679">
      <w:pPr>
        <w:pStyle w:val="a9"/>
        <w:ind w:left="426" w:hanging="426"/>
        <w:jc w:val="both"/>
      </w:pPr>
      <w:r w:rsidRPr="001A7679">
        <w:rPr>
          <w:b/>
          <w:szCs w:val="24"/>
        </w:rPr>
        <w:t xml:space="preserve">З метою </w:t>
      </w:r>
      <w:r w:rsidRPr="001A7679">
        <w:rPr>
          <w:szCs w:val="24"/>
        </w:rPr>
        <w:t xml:space="preserve">гармонійного розвитку особистості, фізичної підготовки, зміцнення здоров’я дітей засобами  фізичної культури та спорту, розвитку їх здібностей в обраному виді спорту, формування у підлітків та дітей соціальної активності та свідомості розроблено </w:t>
      </w:r>
      <w:r w:rsidRPr="001A7679">
        <w:rPr>
          <w:b/>
          <w:szCs w:val="24"/>
        </w:rPr>
        <w:t>Міську програму з розвитку фізичної культури і спорту  на 2015 рік</w:t>
      </w:r>
      <w:r>
        <w:rPr>
          <w:b/>
          <w:szCs w:val="24"/>
        </w:rPr>
        <w:t xml:space="preserve">. </w:t>
      </w:r>
      <w:r>
        <w:t>Очікуваний результат виконання програми.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   - надання дітям, підліткам та молоді умов для навчання та розвитку здібностей в обраному виді спорту, умов для спортивного удосконалення;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    - збільшення кількості дітей, що займаються та юнаків до 20%;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- збільшення кількості дітей «девіантної» поведінки та дітей з проблемних сімей;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- збільшення кількості юних спортсменів, що приймуть участь в обласних та всеукраїнських змагань до 40%;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- участь вихованців школи у всеукраїнських та міжнародних турнірах, в обласних, національних чемпіонатах України, Європи.</w:t>
      </w:r>
    </w:p>
    <w:p w:rsidR="001A7679" w:rsidRPr="001A7679" w:rsidRDefault="001A7679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-   виконання нормативів Майстра Спорту України  - 1 чол., КМС України – 2 чол., </w:t>
      </w:r>
    </w:p>
    <w:p w:rsidR="001A7679" w:rsidRDefault="001A7679" w:rsidP="001A7679">
      <w:pPr>
        <w:pStyle w:val="a9"/>
        <w:jc w:val="both"/>
        <w:rPr>
          <w:szCs w:val="24"/>
        </w:rPr>
      </w:pPr>
      <w:r w:rsidRPr="001A7679">
        <w:rPr>
          <w:szCs w:val="24"/>
        </w:rPr>
        <w:t>І спортивний розряд – 5 чол.,  І юнацький та ІІ, ІІІ спортивні розряди -30 чол</w:t>
      </w:r>
      <w:r>
        <w:rPr>
          <w:szCs w:val="24"/>
        </w:rPr>
        <w:t>.</w:t>
      </w:r>
    </w:p>
    <w:p w:rsidR="001A7679" w:rsidRPr="001A7679" w:rsidRDefault="001A7679" w:rsidP="001A7679">
      <w:pPr>
        <w:pStyle w:val="a9"/>
        <w:jc w:val="both"/>
        <w:rPr>
          <w:szCs w:val="24"/>
        </w:rPr>
      </w:pPr>
      <w:r>
        <w:t>Загальний обсяг фінансування програми: 252700 грн. за рахунок загального фонду міського бюджету.</w:t>
      </w:r>
    </w:p>
    <w:p w:rsidR="00412138" w:rsidRPr="001A7679" w:rsidRDefault="00412138" w:rsidP="001A7679">
      <w:pPr>
        <w:pStyle w:val="8"/>
        <w:spacing w:before="0" w:after="0"/>
        <w:ind w:firstLine="720"/>
        <w:jc w:val="both"/>
        <w:rPr>
          <w:b/>
          <w:bCs/>
          <w:i w:val="0"/>
          <w:iCs w:val="0"/>
        </w:rPr>
      </w:pPr>
      <w:r w:rsidRPr="001A7679">
        <w:rPr>
          <w:b/>
          <w:bCs/>
          <w:i w:val="0"/>
          <w:iCs w:val="0"/>
        </w:rPr>
        <w:t xml:space="preserve">2.2  Природокористування </w:t>
      </w:r>
      <w:bookmarkStart w:id="6" w:name="_Toc214862628"/>
      <w:bookmarkEnd w:id="3"/>
    </w:p>
    <w:p w:rsidR="00412138" w:rsidRPr="001A7679" w:rsidRDefault="00412138" w:rsidP="001A7679">
      <w:pPr>
        <w:pStyle w:val="4"/>
        <w:tabs>
          <w:tab w:val="right" w:pos="8789"/>
        </w:tabs>
        <w:spacing w:before="0" w:after="0"/>
        <w:ind w:firstLine="720"/>
        <w:jc w:val="both"/>
        <w:rPr>
          <w:sz w:val="24"/>
          <w:szCs w:val="24"/>
        </w:rPr>
      </w:pPr>
      <w:r w:rsidRPr="001A7679">
        <w:rPr>
          <w:sz w:val="24"/>
          <w:szCs w:val="24"/>
        </w:rPr>
        <w:lastRenderedPageBreak/>
        <w:t>Охорона навколишнього природного середовища</w:t>
      </w:r>
      <w:bookmarkEnd w:id="6"/>
      <w:r w:rsidR="001A7679">
        <w:rPr>
          <w:sz w:val="24"/>
          <w:szCs w:val="24"/>
        </w:rPr>
        <w:t>:</w:t>
      </w:r>
    </w:p>
    <w:p w:rsidR="00472D79" w:rsidRPr="001A7679" w:rsidRDefault="00412138" w:rsidP="001A7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В умовах значної кількості екологічних проблем різного рівня складності та вкрай обмежених ресурсів для їх вирішення, виходячи з основних напрямів державної політики та плану дій у галузі охорони довкілля, використання природних ресурсів та забезпечення екологічної безпеки </w:t>
      </w:r>
      <w:r w:rsidR="0047290D" w:rsidRPr="001A7679">
        <w:rPr>
          <w:rFonts w:ascii="Times New Roman" w:hAnsi="Times New Roman" w:cs="Times New Roman"/>
          <w:sz w:val="24"/>
          <w:szCs w:val="24"/>
        </w:rPr>
        <w:t>розроблено міську екологічну програму використання коштів фонду охорони навколишнього природного середовища Зеленодольс</w:t>
      </w:r>
      <w:r w:rsidR="00FF259C" w:rsidRPr="001A7679">
        <w:rPr>
          <w:rFonts w:ascii="Times New Roman" w:hAnsi="Times New Roman" w:cs="Times New Roman"/>
          <w:sz w:val="24"/>
          <w:szCs w:val="24"/>
        </w:rPr>
        <w:t>ької міської ради на 2015 рік: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418"/>
        <w:gridCol w:w="1559"/>
        <w:gridCol w:w="1843"/>
      </w:tblGrid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678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</w:p>
        </w:tc>
        <w:tc>
          <w:tcPr>
            <w:tcW w:w="1418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Сума  (грн.)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КФК / КЕКВ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</w:t>
            </w:r>
          </w:p>
        </w:tc>
      </w:tr>
      <w:tr w:rsidR="00472D79" w:rsidRPr="001A7679" w:rsidTr="00472D79">
        <w:trPr>
          <w:trHeight w:val="188"/>
        </w:trPr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І.  Будівництво каналізаційних мереж і споруд на них</w:t>
            </w:r>
          </w:p>
        </w:tc>
      </w:tr>
      <w:tr w:rsidR="00472D79" w:rsidRPr="001A7679" w:rsidTr="00472D79">
        <w:trPr>
          <w:trHeight w:val="72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самопливного колектору К 1 об’єкту « Будівництво каналізаційної насосної  станції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1297656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72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каналізаційної насосної станції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129606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330"/>
        </w:trPr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ІІ.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</w:tr>
      <w:tr w:rsidR="00472D79" w:rsidRPr="001A7679" w:rsidTr="00472D79">
        <w:trPr>
          <w:trHeight w:val="33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Проектно-вишукувальні роботи з капітального ремонту (санація) самопливного каналізаційного колектору від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колодція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№1 до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колодця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№ 3 </w:t>
            </w:r>
          </w:p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по вул. Садовій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</w:p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т.ч.експертиза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33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(санація) самопливного каналізаційного колектору від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колодця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№1 до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колодця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№ 3 по вул. Садовій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напірних колекторів нитка № 3 та нитка № 4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в Дніпропетровській області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969748 (у т.ч. борг 2014 895107)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33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Коригування та експертиза робочого проекту реконструкції системи знезараження господарчо-побутових стоків на біологічних очисних спорудах. Заміна скрапленого хлору на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гіпохлоріт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натрію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94279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599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системи знезараження господарчо-побутових стоків на біологічних очисних спорудах. Заміна скрапленого хлору на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гіпохлоріт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натрію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5776105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</w:t>
            </w: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початок року </w:t>
            </w:r>
          </w:p>
        </w:tc>
      </w:tr>
      <w:tr w:rsidR="00472D79" w:rsidRPr="001A7679" w:rsidTr="00472D79">
        <w:trPr>
          <w:trHeight w:val="599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Проектно-планувальні роботи з виготовлення містобудівних умов і обмеження забудови земельної ділянки з реконструкції біологічних очисних споруд 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599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біологічних очисних споруд (БОС)  за адресою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63019007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 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62019007, передача із загального фонду 1000000 </w:t>
            </w:r>
          </w:p>
        </w:tc>
      </w:tr>
      <w:tr w:rsidR="00472D79" w:rsidRPr="001A7679" w:rsidTr="00472D79">
        <w:trPr>
          <w:trHeight w:val="599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Проектно-вишукувальні роботи з капітального ремонту напірного каналізаційного колектору № 1 та № 2 (У т.ч. експертиза)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773040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3132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Будівництво каналізаційних мереж та організація відведення поверхневого стоку води з території  с. М.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Костромка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12309095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 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 7859540, передача із загального фонду 4569555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приєднання до електричних мереж каналізаційних насосних станцій об’єкта будівництва «Будівництво каналізаційних мереж та організація відведення поверхневого стоку води з території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с.М.Костромка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21785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машини для стикової зварки пластикових труб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851000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– вишукувальні роботи з реконструкції споруди КНС – 3, її електросилового та технологічного обладнання і вентиляційних систем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(у тому числі експертиза проекту)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50369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споруди КНС – 3, її електросилового та технологічного обладнання і вентиляційних систем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м.Зеленодольську</w:t>
            </w:r>
            <w:proofErr w:type="spellEnd"/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– вишукувальні роботи з капітального ремонту аерофільтра № 3 ІІІ черги БОС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 (в т.ч. експертиза)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173000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3132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генераторного устаткування типу Р330Н-1 або його еквівалент 2 шт.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2408284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rPr>
          <w:trHeight w:val="386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термо-акустичного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течошукача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або його еквівалент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ІІІ. Заходи з захисту від підтоплення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Будівництво дощової каналізації по вул..Комсомольська, пров. Молодіжний, вул..Н.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Малаєвої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1651647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установки «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Акваджет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500» для прочищення каналізаційних мереж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проекту землеустрою щодо встановлення меж водоохоронної зони та смуги відведення дренажно-паводкового каналу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с.М.Костромка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Зеленодольської міської ради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26295 (борг 2014)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240601/1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робочого проекту з реконструкції системи зливової каналізації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, вул. Рибалко, 2-10 (у тому числі експертиза проекту)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59120 (у т.ч. борг 2014 56024,26)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залишки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системи зливової каналізації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, вул. Рибалко, 2-10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1024000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системи зливової каналізації  дворової каналізації 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вул.Енергетична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24-30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125439 (92189 - борг 2014 )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Захист від підтоплення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с.М.Костромка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вул.Нова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, вул..Калініна,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вул.Зеленодольська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Зеленодольської міської ради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200351 ( у т.ч. 46452 борг 2014)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Проектно-вишукувальні роботи з будівництва споруди приймальної камери системи зливової каналізації по вул.60 років Жовтня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 (в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т.ч.експертиза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Отримання технічних умов на дренажно-насосну станцію об’єкта будівництва «Будівництво дощової каналізації по вул..Комсомольська, пров. Молодіжний, вул..Н.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Малаєвої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м.Зеленодольську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Апостолівського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Дніпропетровської області»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proofErr w:type="spellStart"/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.Заходи</w:t>
            </w:r>
            <w:proofErr w:type="spellEnd"/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із озеленення міста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озеленення м.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Зеленодольськ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3490000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240601/1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кошти загального фонду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АГП телескопічного 28 м  для обрізки дерев 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2206456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240601/7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спеціалізованого поливо миючого автомобіля  зі змінним обладнанням (лопата універсальна поворотна і щіткове обладнання)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1650000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коштів із загального фонду до бюджету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роз-витку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спеціалізованого автомобіля самоскида вантажопідйомністю 20 тонн або його еквівалент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1460000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залишки коштів спеціального фонду на початок року 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навісного обладнання до трактора, косарки дискової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бензинових травокосарок 4 шт.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43600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залишки </w:t>
            </w: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коштів спеціального фонду на початок року</w:t>
            </w:r>
          </w:p>
        </w:tc>
      </w:tr>
      <w:tr w:rsidR="00472D79" w:rsidRPr="001A7679" w:rsidTr="00472D79"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бензинової газонокосарки 1 шт.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2062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машини комунальної  з закріпленим на ньому відвалу і щіткового обладнання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передача коштів із загального фонду до бюджету розвитку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274"/>
        </w:trPr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Охорона і раціональне використання земель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Створення та ведення земельного кадастру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1597745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200200/1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2281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A37823">
        <w:trPr>
          <w:trHeight w:val="180"/>
        </w:trPr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І. Будівництво, розширення та реконструкція споруд, придбання та впровадження установок, обладнання та машин для збору, транспортування, складування побутових відходів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Будівництво бетонних майданчиків з огорожами під контейнери для збирання твердих побутових відходів.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3029675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240602/7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контейнерів для збирання твердих побутових відходів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57255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240602/7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передача коштів із загального фонду до бюджету розвитку (спеціального фонду)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подрібнювача для переробки будівельних відходів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240602/7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Проектно-вишукувальні роботи з будівництва заводу по переробці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золошлакових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відходів 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240602/7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передача коштів із загального фонду до бюджету розвитку (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спеці-ального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фонду)</w:t>
            </w:r>
          </w:p>
        </w:tc>
      </w:tr>
      <w:tr w:rsidR="00472D79" w:rsidRPr="001A7679" w:rsidTr="00472D79">
        <w:trPr>
          <w:trHeight w:val="180"/>
        </w:trPr>
        <w:tc>
          <w:tcPr>
            <w:tcW w:w="10207" w:type="dxa"/>
            <w:gridSpan w:val="5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V</w:t>
            </w:r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ІІ .</w:t>
            </w:r>
            <w:proofErr w:type="gramEnd"/>
            <w:r w:rsidRPr="001A7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Роботи, пов’язані з поліпшенням технічного стану та благоустрою водойм.</w:t>
            </w:r>
          </w:p>
        </w:tc>
      </w:tr>
      <w:tr w:rsidR="00472D79" w:rsidRPr="001A7679" w:rsidTr="00472D79">
        <w:trPr>
          <w:trHeight w:val="18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Роботи, пов’язані з поліпшенням технічного стану та благоустрою водойм. Заходи з відновлення берегової смуги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Зеленодольського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водоймища : придбання піску та послуги з відновлення берегової смуги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</w:tc>
        <w:tc>
          <w:tcPr>
            <w:tcW w:w="1559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240601/7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2210-90000 </w:t>
            </w:r>
          </w:p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2240-9000</w:t>
            </w: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залишки коштів спеціального фонду на початок року</w:t>
            </w:r>
          </w:p>
        </w:tc>
      </w:tr>
      <w:tr w:rsidR="00472D79" w:rsidRPr="001A7679" w:rsidTr="00472D79">
        <w:trPr>
          <w:trHeight w:val="330"/>
        </w:trPr>
        <w:tc>
          <w:tcPr>
            <w:tcW w:w="709" w:type="dxa"/>
          </w:tcPr>
          <w:p w:rsidR="00472D79" w:rsidRPr="001A7679" w:rsidRDefault="00472D79" w:rsidP="001A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vAlign w:val="center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106153457</w:t>
            </w:r>
          </w:p>
        </w:tc>
        <w:tc>
          <w:tcPr>
            <w:tcW w:w="1559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D79" w:rsidRPr="001A7679" w:rsidRDefault="00472D79" w:rsidP="001A7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F40" w:rsidRPr="001A7679" w:rsidRDefault="00F83F40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Разом за рахунок коштів : </w:t>
      </w:r>
    </w:p>
    <w:p w:rsidR="00F83F40" w:rsidRPr="001A7679" w:rsidRDefault="00F83F40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загального фонду – 3490000 грн.,</w:t>
      </w:r>
    </w:p>
    <w:p w:rsidR="00F83F40" w:rsidRPr="001A7679" w:rsidRDefault="00F83F40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передачі коштів із загального фонду до бюджету розвитку (спеціального фонду) - 12740191 грн.,</w:t>
      </w:r>
    </w:p>
    <w:p w:rsidR="00F83F40" w:rsidRPr="001A7679" w:rsidRDefault="00F83F40" w:rsidP="001A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>залишків коштів спеціального фонду міського бюджету на початок року 89923266 грн.</w:t>
      </w:r>
    </w:p>
    <w:p w:rsidR="00412138" w:rsidRPr="003D37D6" w:rsidRDefault="00412138" w:rsidP="001A76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2.3  </w:t>
      </w:r>
      <w:proofErr w:type="spellStart"/>
      <w:r w:rsidRPr="003D37D6">
        <w:rPr>
          <w:rFonts w:ascii="Times New Roman" w:hAnsi="Times New Roman" w:cs="Times New Roman"/>
          <w:b/>
          <w:bCs/>
          <w:iCs/>
          <w:sz w:val="24"/>
          <w:szCs w:val="24"/>
        </w:rPr>
        <w:t>Житлово–комунальне</w:t>
      </w:r>
      <w:proofErr w:type="spellEnd"/>
      <w:r w:rsidRPr="003D37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господарство</w:t>
      </w:r>
    </w:p>
    <w:p w:rsidR="00412138" w:rsidRPr="001A7679" w:rsidRDefault="00412138" w:rsidP="001A7679">
      <w:pPr>
        <w:pStyle w:val="11"/>
        <w:tabs>
          <w:tab w:val="left" w:pos="180"/>
        </w:tabs>
        <w:spacing w:after="0"/>
        <w:ind w:left="0" w:firstLine="720"/>
        <w:jc w:val="both"/>
        <w:rPr>
          <w:color w:val="000000"/>
        </w:rPr>
      </w:pPr>
      <w:r w:rsidRPr="001A7679">
        <w:t>П</w:t>
      </w:r>
      <w:r w:rsidRPr="001A7679">
        <w:rPr>
          <w:color w:val="000000"/>
        </w:rPr>
        <w:t>ріоритетним на 201</w:t>
      </w:r>
      <w:r w:rsidR="00F83F40" w:rsidRPr="001A7679">
        <w:rPr>
          <w:color w:val="000000"/>
        </w:rPr>
        <w:t>5</w:t>
      </w:r>
      <w:r w:rsidRPr="001A7679">
        <w:rPr>
          <w:color w:val="000000"/>
        </w:rPr>
        <w:t xml:space="preserve"> рік  є підвищення якості житлово-комунальних послуг шляхом підвищення ефективності діяльності комунальн</w:t>
      </w:r>
      <w:r w:rsidR="000336D7" w:rsidRPr="001A7679">
        <w:rPr>
          <w:color w:val="000000"/>
        </w:rPr>
        <w:t>ого</w:t>
      </w:r>
      <w:r w:rsidRPr="001A7679">
        <w:rPr>
          <w:color w:val="000000"/>
        </w:rPr>
        <w:t xml:space="preserve"> підприємств</w:t>
      </w:r>
      <w:r w:rsidR="000336D7" w:rsidRPr="001A7679">
        <w:rPr>
          <w:color w:val="000000"/>
        </w:rPr>
        <w:t xml:space="preserve">а «Зеленодольський </w:t>
      </w:r>
      <w:proofErr w:type="spellStart"/>
      <w:r w:rsidR="000336D7" w:rsidRPr="001A7679">
        <w:rPr>
          <w:color w:val="000000"/>
        </w:rPr>
        <w:t>міськй</w:t>
      </w:r>
      <w:proofErr w:type="spellEnd"/>
      <w:r w:rsidR="000336D7" w:rsidRPr="001A7679">
        <w:rPr>
          <w:color w:val="000000"/>
        </w:rPr>
        <w:t xml:space="preserve"> водоканал»</w:t>
      </w:r>
      <w:r w:rsidRPr="001A7679">
        <w:rPr>
          <w:color w:val="000000"/>
        </w:rPr>
        <w:t xml:space="preserve">, формування ринку послуг з управління та утримання багатоквартирних будинків, залучення інвестицій для проведення реконструкції, капітального ремонту об'єктів </w:t>
      </w:r>
      <w:proofErr w:type="spellStart"/>
      <w:r w:rsidRPr="001A7679">
        <w:rPr>
          <w:color w:val="000000"/>
        </w:rPr>
        <w:t>тепло-</w:t>
      </w:r>
      <w:proofErr w:type="spellEnd"/>
      <w:r w:rsidRPr="001A7679">
        <w:rPr>
          <w:color w:val="000000"/>
        </w:rPr>
        <w:t>, водопостачання та водовідведення, житлового фонду, продовження реформування житлово-комунального господарства міста.</w:t>
      </w:r>
    </w:p>
    <w:p w:rsidR="000336D7" w:rsidRPr="001A7679" w:rsidRDefault="00412138" w:rsidP="001A7679">
      <w:pPr>
        <w:pStyle w:val="a9"/>
        <w:jc w:val="both"/>
        <w:outlineLvl w:val="0"/>
        <w:rPr>
          <w:szCs w:val="24"/>
        </w:rPr>
      </w:pPr>
      <w:r w:rsidRPr="001A7679">
        <w:rPr>
          <w:szCs w:val="24"/>
        </w:rPr>
        <w:t xml:space="preserve"> </w:t>
      </w:r>
      <w:r w:rsidR="000336D7" w:rsidRPr="003D37D6">
        <w:rPr>
          <w:bCs/>
          <w:szCs w:val="24"/>
        </w:rPr>
        <w:t>З метою</w:t>
      </w:r>
      <w:r w:rsidR="000336D7" w:rsidRPr="001A7679">
        <w:rPr>
          <w:szCs w:val="24"/>
        </w:rPr>
        <w:t xml:space="preserve"> поліпшення благоустрою та санітарного стану території, освітлення вулиць міста </w:t>
      </w:r>
      <w:proofErr w:type="spellStart"/>
      <w:r w:rsidR="000336D7" w:rsidRPr="001A7679">
        <w:rPr>
          <w:szCs w:val="24"/>
        </w:rPr>
        <w:t>Зеленодольськ</w:t>
      </w:r>
      <w:proofErr w:type="spellEnd"/>
      <w:r w:rsidR="000336D7" w:rsidRPr="001A7679">
        <w:rPr>
          <w:szCs w:val="24"/>
        </w:rPr>
        <w:t xml:space="preserve"> та с. М. </w:t>
      </w:r>
      <w:proofErr w:type="spellStart"/>
      <w:r w:rsidR="000336D7" w:rsidRPr="001A7679">
        <w:rPr>
          <w:szCs w:val="24"/>
        </w:rPr>
        <w:t>Костромка</w:t>
      </w:r>
      <w:proofErr w:type="spellEnd"/>
      <w:r w:rsidR="000336D7" w:rsidRPr="001A7679">
        <w:rPr>
          <w:szCs w:val="24"/>
        </w:rPr>
        <w:t xml:space="preserve">, технічного стану житлових будинків, попередження виникнення аварійного стану будинків та їх руйнування,підвищення рівня ефективності експлуатації житлового фонду,  збереження в належному стані майна, що є комунальною власністю Зеленодольської територіальної громади, забезпечення поховання невпізнаних, одиноких осіб, розроблено </w:t>
      </w:r>
      <w:r w:rsidR="000336D7" w:rsidRPr="003D37D6">
        <w:rPr>
          <w:b/>
          <w:szCs w:val="24"/>
        </w:rPr>
        <w:t xml:space="preserve">Міську програму розвитку житлово-комунального господарства та благоустрою м. </w:t>
      </w:r>
      <w:proofErr w:type="spellStart"/>
      <w:r w:rsidR="000336D7" w:rsidRPr="003D37D6">
        <w:rPr>
          <w:b/>
          <w:szCs w:val="24"/>
        </w:rPr>
        <w:t>Зеленодольськ</w:t>
      </w:r>
      <w:proofErr w:type="spellEnd"/>
      <w:r w:rsidR="000336D7" w:rsidRPr="003D37D6">
        <w:rPr>
          <w:b/>
          <w:szCs w:val="24"/>
        </w:rPr>
        <w:t xml:space="preserve"> та с. М.</w:t>
      </w:r>
      <w:proofErr w:type="spellStart"/>
      <w:r w:rsidR="000336D7" w:rsidRPr="003D37D6">
        <w:rPr>
          <w:b/>
          <w:szCs w:val="24"/>
        </w:rPr>
        <w:t>Костромка</w:t>
      </w:r>
      <w:proofErr w:type="spellEnd"/>
      <w:r w:rsidR="000336D7" w:rsidRPr="003D37D6">
        <w:rPr>
          <w:b/>
          <w:szCs w:val="24"/>
        </w:rPr>
        <w:t xml:space="preserve"> на 2015 рік</w:t>
      </w:r>
      <w:r w:rsidR="000336D7" w:rsidRPr="001A7679">
        <w:rPr>
          <w:szCs w:val="24"/>
        </w:rPr>
        <w:t>:</w:t>
      </w:r>
    </w:p>
    <w:p w:rsidR="000336D7" w:rsidRPr="001A7679" w:rsidRDefault="000336D7" w:rsidP="001A767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Перелік заходів  щодо  розвитку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- комунального господарства та благоустрою м.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  </w:t>
      </w:r>
      <w:r w:rsidRPr="001A7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679">
        <w:rPr>
          <w:rFonts w:ascii="Times New Roman" w:hAnsi="Times New Roman" w:cs="Times New Roman"/>
          <w:sz w:val="24"/>
          <w:szCs w:val="24"/>
        </w:rPr>
        <w:t>на 2015 рік  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417"/>
        <w:gridCol w:w="1418"/>
        <w:gridCol w:w="1843"/>
      </w:tblGrid>
      <w:tr w:rsidR="000336D7" w:rsidRPr="001A7679" w:rsidTr="00472D79">
        <w:trPr>
          <w:trHeight w:val="587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Найменування заходів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pStyle w:val="ad"/>
              <w:ind w:left="0" w:right="0"/>
              <w:rPr>
                <w:b w:val="0"/>
                <w:sz w:val="24"/>
                <w:szCs w:val="24"/>
              </w:rPr>
            </w:pPr>
          </w:p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pStyle w:val="ad"/>
              <w:ind w:left="0" w:right="0"/>
              <w:rPr>
                <w:b w:val="0"/>
                <w:sz w:val="24"/>
                <w:szCs w:val="24"/>
              </w:rPr>
            </w:pPr>
          </w:p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КЕКВ 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мереж вуличного освітлення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Придбання меморіальної дошки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    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Поточний ремонт та технічне обслуговування системи вуличного освітлення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118628,00 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Обслуговування кладовища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61113,00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Послуги з встановлення та обслуговування обладнання електричних мереж вуличного освітлення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</w:tr>
      <w:tr w:rsidR="000336D7" w:rsidRPr="001A7679" w:rsidTr="000336D7">
        <w:trPr>
          <w:trHeight w:val="492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Обслуговування пляжної та паркової зони (водопостачання )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4851,00</w:t>
            </w:r>
          </w:p>
        </w:tc>
      </w:tr>
      <w:tr w:rsidR="000336D7" w:rsidRPr="001A7679" w:rsidTr="000336D7">
        <w:trPr>
          <w:trHeight w:val="407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Вуличне освітлення ( оплата електроенергії)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311456,00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Утримання 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ятника</w:t>
            </w:r>
            <w:proofErr w:type="spellEnd"/>
            <w:r w:rsidRPr="001A7679">
              <w:rPr>
                <w:rFonts w:ascii="Times New Roman" w:hAnsi="Times New Roman" w:cs="Times New Roman"/>
                <w:sz w:val="24"/>
                <w:szCs w:val="24"/>
              </w:rPr>
              <w:t xml:space="preserve"> (оплата газу)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885,00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Оплата податків і зборів, пені, збитків від інфляції, пов’язаних з утриманням об’єктів благоустрою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686,00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Захоронення невпізнаних, одиноких осіб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100302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Обслуговування зливової каналізації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Обстеження підводної частини міського пляжу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Стерилізація бродячих тварин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100203</w:t>
            </w: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0336D7" w:rsidRPr="001A7679" w:rsidTr="000336D7">
        <w:trPr>
          <w:trHeight w:val="390"/>
        </w:trPr>
        <w:tc>
          <w:tcPr>
            <w:tcW w:w="567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</w:tcPr>
          <w:p w:rsidR="000336D7" w:rsidRPr="001A7679" w:rsidRDefault="000336D7" w:rsidP="001A7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36D7" w:rsidRPr="001A7679" w:rsidRDefault="000336D7" w:rsidP="001A7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sz w:val="24"/>
                <w:szCs w:val="24"/>
              </w:rPr>
              <w:t>554619,00</w:t>
            </w:r>
          </w:p>
        </w:tc>
      </w:tr>
    </w:tbl>
    <w:p w:rsidR="00FF259C" w:rsidRPr="001A7679" w:rsidRDefault="00FF259C" w:rsidP="001A76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679">
        <w:rPr>
          <w:rFonts w:ascii="Times New Roman" w:hAnsi="Times New Roman" w:cs="Times New Roman"/>
          <w:sz w:val="24"/>
          <w:szCs w:val="24"/>
        </w:rPr>
        <w:t xml:space="preserve">З метою забезпечення належного утримання та ефективної експлуатації доріг на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пвдвідомчій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території; досягнення належного рівня фінансового і матеріального забезпечення діяльності міської ради щодо належного утримання та ефективної експлуатації доріг на підвідомчій території; впорядкування дорожнього руху на території м.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Зеленодольськ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A7679">
        <w:rPr>
          <w:rFonts w:ascii="Times New Roman" w:hAnsi="Times New Roman" w:cs="Times New Roman"/>
          <w:sz w:val="24"/>
          <w:szCs w:val="24"/>
        </w:rPr>
        <w:t>с.М.Костромка</w:t>
      </w:r>
      <w:proofErr w:type="spellEnd"/>
      <w:r w:rsidRPr="001A7679">
        <w:rPr>
          <w:rFonts w:ascii="Times New Roman" w:hAnsi="Times New Roman" w:cs="Times New Roman"/>
          <w:sz w:val="24"/>
          <w:szCs w:val="24"/>
        </w:rPr>
        <w:t xml:space="preserve"> розроблено </w:t>
      </w:r>
      <w:r w:rsidRPr="001A7679">
        <w:rPr>
          <w:rFonts w:ascii="Times New Roman" w:hAnsi="Times New Roman" w:cs="Times New Roman"/>
          <w:b/>
          <w:sz w:val="24"/>
          <w:szCs w:val="24"/>
        </w:rPr>
        <w:t xml:space="preserve">Міську програму щодо видатків на проведення робіт, пов’язаних з ремонтом та утриманням доріг м. </w:t>
      </w:r>
      <w:proofErr w:type="spellStart"/>
      <w:r w:rsidRPr="001A7679">
        <w:rPr>
          <w:rFonts w:ascii="Times New Roman" w:hAnsi="Times New Roman" w:cs="Times New Roman"/>
          <w:b/>
          <w:sz w:val="24"/>
          <w:szCs w:val="24"/>
        </w:rPr>
        <w:t>Зеленодольськ</w:t>
      </w:r>
      <w:proofErr w:type="spellEnd"/>
      <w:r w:rsidRPr="001A7679">
        <w:rPr>
          <w:rFonts w:ascii="Times New Roman" w:hAnsi="Times New Roman" w:cs="Times New Roman"/>
          <w:b/>
          <w:sz w:val="24"/>
          <w:szCs w:val="24"/>
        </w:rPr>
        <w:t xml:space="preserve">  та с. М.</w:t>
      </w:r>
      <w:proofErr w:type="spellStart"/>
      <w:r w:rsidRPr="001A7679">
        <w:rPr>
          <w:rFonts w:ascii="Times New Roman" w:hAnsi="Times New Roman" w:cs="Times New Roman"/>
          <w:b/>
          <w:sz w:val="24"/>
          <w:szCs w:val="24"/>
        </w:rPr>
        <w:t>Костромка</w:t>
      </w:r>
      <w:proofErr w:type="spellEnd"/>
      <w:r w:rsidRPr="001A7679">
        <w:rPr>
          <w:rFonts w:ascii="Times New Roman" w:hAnsi="Times New Roman" w:cs="Times New Roman"/>
          <w:b/>
          <w:sz w:val="24"/>
          <w:szCs w:val="24"/>
        </w:rPr>
        <w:t xml:space="preserve"> на 2015 рік: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51"/>
        <w:gridCol w:w="4252"/>
        <w:gridCol w:w="3119"/>
      </w:tblGrid>
      <w:tr w:rsidR="00FF259C" w:rsidRPr="001A7679" w:rsidTr="00FF259C">
        <w:trPr>
          <w:trHeight w:val="357"/>
        </w:trPr>
        <w:tc>
          <w:tcPr>
            <w:tcW w:w="124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КФК</w:t>
            </w:r>
          </w:p>
        </w:tc>
        <w:tc>
          <w:tcPr>
            <w:tcW w:w="851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425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3119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Сума, грн..</w:t>
            </w:r>
          </w:p>
        </w:tc>
      </w:tr>
      <w:tr w:rsidR="00FF259C" w:rsidRPr="001A7679" w:rsidTr="00FF259C">
        <w:trPr>
          <w:cantSplit/>
          <w:trHeight w:val="521"/>
        </w:trPr>
        <w:tc>
          <w:tcPr>
            <w:tcW w:w="124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170703</w:t>
            </w:r>
          </w:p>
        </w:tc>
        <w:tc>
          <w:tcPr>
            <w:tcW w:w="851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4252" w:type="dxa"/>
          </w:tcPr>
          <w:p w:rsidR="00FF259C" w:rsidRPr="001A7679" w:rsidRDefault="00FF259C" w:rsidP="001A7679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A767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Послуги з обслуговування доріг</w:t>
            </w:r>
          </w:p>
        </w:tc>
        <w:tc>
          <w:tcPr>
            <w:tcW w:w="3119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16283</w:t>
            </w:r>
          </w:p>
        </w:tc>
      </w:tr>
      <w:tr w:rsidR="00FF259C" w:rsidRPr="001A7679" w:rsidTr="00FF259C">
        <w:trPr>
          <w:cantSplit/>
          <w:trHeight w:val="556"/>
        </w:trPr>
        <w:tc>
          <w:tcPr>
            <w:tcW w:w="124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170703</w:t>
            </w:r>
          </w:p>
        </w:tc>
        <w:tc>
          <w:tcPr>
            <w:tcW w:w="851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4252" w:type="dxa"/>
          </w:tcPr>
          <w:p w:rsidR="00FF259C" w:rsidRPr="001A7679" w:rsidRDefault="00FF259C" w:rsidP="001A7679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A7679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Поточний ремонт доріг</w:t>
            </w:r>
          </w:p>
        </w:tc>
        <w:tc>
          <w:tcPr>
            <w:tcW w:w="3119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204417</w:t>
            </w:r>
          </w:p>
        </w:tc>
      </w:tr>
      <w:tr w:rsidR="00FF259C" w:rsidRPr="001A7679" w:rsidTr="00FF259C">
        <w:trPr>
          <w:cantSplit/>
          <w:trHeight w:val="280"/>
        </w:trPr>
        <w:tc>
          <w:tcPr>
            <w:tcW w:w="124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3119" w:type="dxa"/>
          </w:tcPr>
          <w:p w:rsidR="00FF259C" w:rsidRPr="001A7679" w:rsidRDefault="00FF259C" w:rsidP="001A76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220700</w:t>
            </w:r>
          </w:p>
        </w:tc>
      </w:tr>
    </w:tbl>
    <w:p w:rsidR="00412138" w:rsidRPr="001A7679" w:rsidRDefault="00412138" w:rsidP="001A76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138" w:rsidRPr="001A7679" w:rsidRDefault="00412138" w:rsidP="003D37D6">
      <w:pPr>
        <w:pStyle w:val="8"/>
        <w:numPr>
          <w:ilvl w:val="1"/>
          <w:numId w:val="12"/>
        </w:numPr>
        <w:spacing w:before="0" w:after="0"/>
        <w:ind w:left="0" w:firstLine="0"/>
        <w:jc w:val="both"/>
        <w:rPr>
          <w:b/>
          <w:bCs/>
          <w:i w:val="0"/>
          <w:iCs w:val="0"/>
        </w:rPr>
      </w:pPr>
      <w:bookmarkStart w:id="7" w:name="_Toc214862632"/>
      <w:r w:rsidRPr="001A7679">
        <w:rPr>
          <w:b/>
          <w:bCs/>
          <w:i w:val="0"/>
          <w:iCs w:val="0"/>
        </w:rPr>
        <w:t>Розвиток підприємництва</w:t>
      </w:r>
      <w:bookmarkEnd w:id="7"/>
    </w:p>
    <w:p w:rsidR="00412138" w:rsidRPr="001A7679" w:rsidRDefault="00412138" w:rsidP="001A7679">
      <w:pPr>
        <w:pStyle w:val="21"/>
        <w:tabs>
          <w:tab w:val="left" w:pos="180"/>
        </w:tabs>
        <w:ind w:firstLine="720"/>
        <w:rPr>
          <w:rFonts w:ascii="Times New Roman" w:hAnsi="Times New Roman" w:cs="Times New Roman"/>
          <w:b/>
          <w:bCs/>
          <w:color w:val="000000"/>
          <w:u w:val="single"/>
          <w:lang w:val="uk-UA"/>
        </w:rPr>
      </w:pPr>
      <w:r w:rsidRPr="001A7679">
        <w:rPr>
          <w:rFonts w:ascii="Times New Roman" w:hAnsi="Times New Roman" w:cs="Times New Roman"/>
          <w:b/>
          <w:bCs/>
          <w:color w:val="000000"/>
          <w:u w:val="single"/>
          <w:lang w:val="uk-UA"/>
        </w:rPr>
        <w:t>Основні завдання та заходи на 201</w:t>
      </w:r>
      <w:r w:rsidR="000336D7" w:rsidRPr="001A7679">
        <w:rPr>
          <w:rFonts w:ascii="Times New Roman" w:hAnsi="Times New Roman" w:cs="Times New Roman"/>
          <w:b/>
          <w:bCs/>
          <w:color w:val="000000"/>
          <w:u w:val="single"/>
          <w:lang w:val="uk-UA"/>
        </w:rPr>
        <w:t>5</w:t>
      </w:r>
      <w:r w:rsidRPr="001A7679">
        <w:rPr>
          <w:rFonts w:ascii="Times New Roman" w:hAnsi="Times New Roman" w:cs="Times New Roman"/>
          <w:b/>
          <w:bCs/>
          <w:color w:val="000000"/>
          <w:u w:val="single"/>
          <w:lang w:val="uk-UA"/>
        </w:rPr>
        <w:t xml:space="preserve"> рік:</w:t>
      </w:r>
    </w:p>
    <w:p w:rsidR="003D37D6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3D37D6">
        <w:rPr>
          <w:rFonts w:ascii="Times New Roman" w:hAnsi="Times New Roman" w:cs="Times New Roman"/>
          <w:color w:val="000000"/>
          <w:lang w:val="uk-UA"/>
        </w:rPr>
        <w:t xml:space="preserve">забезпечення реалізації завдань державної регуляторної політики у сфері господарської діяльності; </w:t>
      </w:r>
    </w:p>
    <w:p w:rsidR="003D37D6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3D37D6">
        <w:rPr>
          <w:rFonts w:ascii="Times New Roman" w:hAnsi="Times New Roman" w:cs="Times New Roman"/>
          <w:color w:val="000000"/>
          <w:lang w:val="uk-UA"/>
        </w:rPr>
        <w:t xml:space="preserve">створення умов для всебічного розвитку здорової конкуренції; </w:t>
      </w:r>
    </w:p>
    <w:p w:rsidR="003D37D6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3D37D6">
        <w:rPr>
          <w:rFonts w:ascii="Times New Roman" w:hAnsi="Times New Roman" w:cs="Times New Roman"/>
          <w:color w:val="000000"/>
          <w:lang w:val="uk-UA"/>
        </w:rPr>
        <w:t xml:space="preserve">подальший розвиток ринкової інфраструктури; </w:t>
      </w:r>
    </w:p>
    <w:p w:rsidR="003D37D6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3D37D6">
        <w:rPr>
          <w:rFonts w:ascii="Times New Roman" w:hAnsi="Times New Roman" w:cs="Times New Roman"/>
          <w:color w:val="000000"/>
          <w:lang w:val="uk-UA"/>
        </w:rPr>
        <w:t>забезпечення відкритості та доступності інформації про з</w:t>
      </w:r>
      <w:r w:rsidR="003D37D6">
        <w:rPr>
          <w:rFonts w:ascii="Times New Roman" w:hAnsi="Times New Roman" w:cs="Times New Roman"/>
          <w:color w:val="000000"/>
          <w:lang w:val="uk-UA"/>
        </w:rPr>
        <w:t>акупівлі товарів, робіт, послуг</w:t>
      </w:r>
    </w:p>
    <w:p w:rsidR="003D37D6" w:rsidRDefault="00412138" w:rsidP="003D37D6">
      <w:pPr>
        <w:pStyle w:val="21"/>
        <w:tabs>
          <w:tab w:val="left" w:pos="180"/>
        </w:tabs>
        <w:ind w:left="360" w:firstLine="0"/>
        <w:rPr>
          <w:rFonts w:ascii="Times New Roman" w:hAnsi="Times New Roman" w:cs="Times New Roman"/>
          <w:color w:val="000000"/>
          <w:lang w:val="uk-UA"/>
        </w:rPr>
      </w:pPr>
      <w:r w:rsidRPr="003D37D6">
        <w:rPr>
          <w:rFonts w:ascii="Times New Roman" w:hAnsi="Times New Roman" w:cs="Times New Roman"/>
          <w:color w:val="000000"/>
          <w:lang w:val="uk-UA"/>
        </w:rPr>
        <w:t>за кошти державного та міського бюджетів;</w:t>
      </w:r>
    </w:p>
    <w:p w:rsidR="00412138" w:rsidRPr="001A7679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1A7679">
        <w:rPr>
          <w:rFonts w:ascii="Times New Roman" w:hAnsi="Times New Roman" w:cs="Times New Roman"/>
          <w:color w:val="000000"/>
          <w:lang w:val="uk-UA"/>
        </w:rPr>
        <w:t>надання суб'єктам малого підприємництва інформаційно-консультативної допомоги</w:t>
      </w:r>
    </w:p>
    <w:p w:rsidR="003D37D6" w:rsidRDefault="00412138" w:rsidP="003D37D6">
      <w:pPr>
        <w:pStyle w:val="21"/>
        <w:numPr>
          <w:ilvl w:val="0"/>
          <w:numId w:val="5"/>
        </w:numPr>
        <w:tabs>
          <w:tab w:val="left" w:pos="180"/>
        </w:tabs>
        <w:rPr>
          <w:rFonts w:ascii="Times New Roman" w:hAnsi="Times New Roman" w:cs="Times New Roman"/>
          <w:color w:val="000000"/>
          <w:lang w:val="uk-UA"/>
        </w:rPr>
      </w:pPr>
      <w:r w:rsidRPr="001A7679">
        <w:rPr>
          <w:rFonts w:ascii="Times New Roman" w:hAnsi="Times New Roman" w:cs="Times New Roman"/>
          <w:color w:val="000000"/>
          <w:lang w:val="uk-UA"/>
        </w:rPr>
        <w:t>встановлення економічно обґрунтованих ставок місц</w:t>
      </w:r>
      <w:r w:rsidR="003D37D6">
        <w:rPr>
          <w:rFonts w:ascii="Times New Roman" w:hAnsi="Times New Roman" w:cs="Times New Roman"/>
          <w:color w:val="000000"/>
          <w:lang w:val="uk-UA"/>
        </w:rPr>
        <w:t xml:space="preserve">евих податків і зборів, єдиного </w:t>
      </w:r>
      <w:r w:rsidRPr="001A7679">
        <w:rPr>
          <w:rFonts w:ascii="Times New Roman" w:hAnsi="Times New Roman" w:cs="Times New Roman"/>
          <w:color w:val="000000"/>
          <w:lang w:val="uk-UA"/>
        </w:rPr>
        <w:t>податку, збору за деякі види підприємницької діяльності.</w:t>
      </w:r>
      <w:bookmarkStart w:id="8" w:name="_Toc214862642"/>
    </w:p>
    <w:p w:rsidR="00412138" w:rsidRPr="003D37D6" w:rsidRDefault="00412138" w:rsidP="003D37D6">
      <w:pPr>
        <w:pStyle w:val="21"/>
        <w:numPr>
          <w:ilvl w:val="1"/>
          <w:numId w:val="12"/>
        </w:numPr>
        <w:rPr>
          <w:rFonts w:ascii="Times New Roman" w:hAnsi="Times New Roman" w:cs="Times New Roman"/>
          <w:color w:val="000000"/>
          <w:lang w:val="uk-UA"/>
        </w:rPr>
      </w:pPr>
      <w:r w:rsidRPr="00A37823">
        <w:rPr>
          <w:rFonts w:ascii="Times New Roman" w:hAnsi="Times New Roman" w:cs="Times New Roman"/>
          <w:b/>
          <w:bCs/>
          <w:noProof/>
          <w:lang w:val="uk-UA"/>
        </w:rPr>
        <w:t xml:space="preserve"> </w:t>
      </w:r>
      <w:r w:rsidRPr="003D37D6">
        <w:rPr>
          <w:rFonts w:ascii="Times New Roman" w:hAnsi="Times New Roman" w:cs="Times New Roman"/>
          <w:b/>
          <w:bCs/>
          <w:noProof/>
        </w:rPr>
        <w:t>Земельні відносини і територіальний розвиток міста</w:t>
      </w:r>
    </w:p>
    <w:p w:rsidR="00412138" w:rsidRPr="001A7679" w:rsidRDefault="00412138" w:rsidP="001A7679">
      <w:pPr>
        <w:pStyle w:val="21"/>
        <w:tabs>
          <w:tab w:val="left" w:pos="0"/>
        </w:tabs>
        <w:ind w:firstLine="720"/>
        <w:rPr>
          <w:rFonts w:ascii="Times New Roman" w:hAnsi="Times New Roman" w:cs="Times New Roman"/>
          <w:color w:val="000000"/>
          <w:lang w:val="uk-UA"/>
        </w:rPr>
      </w:pPr>
      <w:r w:rsidRPr="001A7679">
        <w:rPr>
          <w:rFonts w:ascii="Times New Roman" w:hAnsi="Times New Roman" w:cs="Times New Roman"/>
          <w:color w:val="000000"/>
          <w:lang w:val="uk-UA"/>
        </w:rPr>
        <w:t>Враховуючи обмеженість коштів загального фонду бюджету пріоритетними напрямками роботи щодо забезпечення ефективності використання земель територіальної громади в 201</w:t>
      </w:r>
      <w:r w:rsidR="00472D79" w:rsidRPr="001A7679">
        <w:rPr>
          <w:rFonts w:ascii="Times New Roman" w:hAnsi="Times New Roman" w:cs="Times New Roman"/>
          <w:color w:val="000000"/>
          <w:lang w:val="uk-UA"/>
        </w:rPr>
        <w:t>5</w:t>
      </w:r>
      <w:r w:rsidRPr="001A7679">
        <w:rPr>
          <w:rFonts w:ascii="Times New Roman" w:hAnsi="Times New Roman" w:cs="Times New Roman"/>
          <w:color w:val="000000"/>
          <w:lang w:val="uk-UA"/>
        </w:rPr>
        <w:t xml:space="preserve"> році є:</w:t>
      </w:r>
    </w:p>
    <w:p w:rsidR="00412138" w:rsidRPr="001A7679" w:rsidRDefault="00472D79" w:rsidP="003D37D6">
      <w:pPr>
        <w:pStyle w:val="8"/>
        <w:numPr>
          <w:ilvl w:val="0"/>
          <w:numId w:val="5"/>
        </w:numPr>
        <w:spacing w:before="0" w:after="0"/>
        <w:jc w:val="both"/>
        <w:rPr>
          <w:i w:val="0"/>
          <w:iCs w:val="0"/>
        </w:rPr>
      </w:pPr>
      <w:r w:rsidRPr="001A7679">
        <w:rPr>
          <w:i w:val="0"/>
          <w:iCs w:val="0"/>
        </w:rPr>
        <w:t>Робота з</w:t>
      </w:r>
      <w:r w:rsidR="00412138" w:rsidRPr="001A7679">
        <w:rPr>
          <w:i w:val="0"/>
          <w:iCs w:val="0"/>
        </w:rPr>
        <w:t xml:space="preserve"> оптимізації та раціоналізації використання земельних ресурсів.</w:t>
      </w:r>
    </w:p>
    <w:p w:rsidR="00412138" w:rsidRPr="003D37D6" w:rsidRDefault="00412138" w:rsidP="003D37D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>Контроль ефективності використання земель територіальної громади;</w:t>
      </w:r>
    </w:p>
    <w:p w:rsidR="00412138" w:rsidRPr="003D37D6" w:rsidRDefault="00412138" w:rsidP="003D37D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>Відстеження змін чинного законодавства з питання плати за землю;</w:t>
      </w:r>
    </w:p>
    <w:p w:rsidR="00412138" w:rsidRPr="003D37D6" w:rsidRDefault="00412138" w:rsidP="003D37D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>Проведення заходів з підвищення ефективності та повноти справляння плати за землю відповідно до чинного законодавства</w:t>
      </w:r>
      <w:r w:rsidR="001A7679" w:rsidRPr="003D37D6">
        <w:rPr>
          <w:rFonts w:ascii="Times New Roman" w:hAnsi="Times New Roman" w:cs="Times New Roman"/>
          <w:sz w:val="24"/>
          <w:szCs w:val="24"/>
        </w:rPr>
        <w:t>;</w:t>
      </w:r>
    </w:p>
    <w:p w:rsidR="00412138" w:rsidRPr="003D37D6" w:rsidRDefault="00412138" w:rsidP="003D37D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>Контроль за дотриманням чинного законодавства з планування та забудови території громади;</w:t>
      </w:r>
    </w:p>
    <w:p w:rsidR="00412138" w:rsidRDefault="00412138" w:rsidP="003D37D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 xml:space="preserve">Контроль за виконанням технічних умов по розміщенню, будівництву та благоустрою. </w:t>
      </w:r>
    </w:p>
    <w:p w:rsidR="003D37D6" w:rsidRDefault="003D37D6" w:rsidP="003D37D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7D6">
        <w:rPr>
          <w:rFonts w:ascii="Times New Roman" w:hAnsi="Times New Roman" w:cs="Times New Roman"/>
          <w:sz w:val="24"/>
          <w:szCs w:val="24"/>
        </w:rPr>
        <w:t>З метою провадження державної політики, спрямованої на збалансоване забезпечення потреб населення і галузей економіки у земельних ресурсах, раціональне використання та охорону земель</w:t>
      </w:r>
      <w:r>
        <w:rPr>
          <w:rFonts w:ascii="Times New Roman" w:hAnsi="Times New Roman" w:cs="Times New Roman"/>
          <w:sz w:val="24"/>
          <w:szCs w:val="24"/>
        </w:rPr>
        <w:t xml:space="preserve">, розроблено </w:t>
      </w:r>
      <w:r w:rsidRPr="003D37D6">
        <w:rPr>
          <w:rFonts w:ascii="Times New Roman" w:hAnsi="Times New Roman" w:cs="Times New Roman"/>
          <w:b/>
          <w:sz w:val="24"/>
          <w:szCs w:val="24"/>
        </w:rPr>
        <w:t xml:space="preserve">Міську програму проведення заходів із землеустрою в м. </w:t>
      </w:r>
      <w:proofErr w:type="spellStart"/>
      <w:r w:rsidRPr="003D37D6">
        <w:rPr>
          <w:rFonts w:ascii="Times New Roman" w:hAnsi="Times New Roman" w:cs="Times New Roman"/>
          <w:b/>
          <w:sz w:val="24"/>
          <w:szCs w:val="24"/>
        </w:rPr>
        <w:t>Зеленодольськ</w:t>
      </w:r>
      <w:proofErr w:type="spellEnd"/>
      <w:r w:rsidRPr="003D37D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37D6">
        <w:rPr>
          <w:rFonts w:ascii="Times New Roman" w:hAnsi="Times New Roman" w:cs="Times New Roman"/>
          <w:b/>
          <w:sz w:val="24"/>
          <w:szCs w:val="24"/>
        </w:rPr>
        <w:t>с.М.Костромка</w:t>
      </w:r>
      <w:proofErr w:type="spellEnd"/>
      <w:r w:rsidRPr="003D37D6">
        <w:rPr>
          <w:rFonts w:ascii="Times New Roman" w:hAnsi="Times New Roman" w:cs="Times New Roman"/>
          <w:b/>
          <w:sz w:val="24"/>
          <w:szCs w:val="24"/>
        </w:rPr>
        <w:t xml:space="preserve"> на 2015 рік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37D6" w:rsidRDefault="003D37D6" w:rsidP="003D37D6">
      <w:pPr>
        <w:pStyle w:val="a9"/>
        <w:jc w:val="both"/>
      </w:pPr>
      <w:r>
        <w:t>Перелік заходів програми:</w:t>
      </w:r>
    </w:p>
    <w:p w:rsidR="003D37D6" w:rsidRDefault="003D37D6" w:rsidP="003D37D6">
      <w:pPr>
        <w:pStyle w:val="a9"/>
        <w:jc w:val="both"/>
      </w:pPr>
      <w:r>
        <w:lastRenderedPageBreak/>
        <w:t xml:space="preserve">- виготовлення проектів землеустрою ділянок на території міста </w:t>
      </w:r>
      <w:proofErr w:type="spellStart"/>
      <w:r>
        <w:t>Зеленодольськ</w:t>
      </w:r>
      <w:proofErr w:type="spellEnd"/>
      <w:r>
        <w:t xml:space="preserve"> та </w:t>
      </w:r>
      <w:proofErr w:type="spellStart"/>
      <w:r>
        <w:t>с.М.Костромка</w:t>
      </w:r>
      <w:proofErr w:type="spellEnd"/>
      <w:r>
        <w:t>, наданих для будівництва об’єктів житлово-комунального господарства, соціальної сфери;</w:t>
      </w:r>
    </w:p>
    <w:p w:rsidR="003D37D6" w:rsidRDefault="003D37D6" w:rsidP="003D37D6">
      <w:pPr>
        <w:pStyle w:val="a9"/>
        <w:jc w:val="both"/>
      </w:pPr>
      <w:r>
        <w:t>- виготовлення технічної документації (проектів) землеустрою на земельні ділянки, які фактично зайняті будівлями та спорудами</w:t>
      </w:r>
      <w:r w:rsidRPr="006F1489">
        <w:t xml:space="preserve"> </w:t>
      </w:r>
      <w:r>
        <w:t>житлово-комунального господарства та соціальної сфери.</w:t>
      </w:r>
    </w:p>
    <w:p w:rsidR="003D37D6" w:rsidRDefault="003D37D6" w:rsidP="003D37D6">
      <w:pPr>
        <w:pStyle w:val="a9"/>
        <w:jc w:val="both"/>
      </w:pPr>
      <w:r>
        <w:t>Загальний обсяг фінансування програми: 119900,00 грн. за рахунок загального фонду міського бюджету.</w:t>
      </w:r>
    </w:p>
    <w:p w:rsidR="003D37D6" w:rsidRPr="003D37D6" w:rsidRDefault="003D37D6" w:rsidP="003D37D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679" w:rsidRPr="001A7679" w:rsidRDefault="001A7679" w:rsidP="001A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138" w:rsidRPr="001A7679" w:rsidRDefault="00412138" w:rsidP="001A7679">
      <w:pPr>
        <w:pStyle w:val="8"/>
        <w:spacing w:before="0" w:after="0"/>
        <w:ind w:firstLine="720"/>
        <w:jc w:val="both"/>
        <w:rPr>
          <w:b/>
          <w:bCs/>
          <w:i w:val="0"/>
          <w:iCs w:val="0"/>
        </w:rPr>
      </w:pPr>
      <w:r w:rsidRPr="001A7679">
        <w:rPr>
          <w:b/>
          <w:bCs/>
          <w:i w:val="0"/>
          <w:iCs w:val="0"/>
        </w:rPr>
        <w:t>2.6 Фінансові ресурси</w:t>
      </w:r>
      <w:bookmarkEnd w:id="8"/>
    </w:p>
    <w:p w:rsidR="00412138" w:rsidRPr="001A7679" w:rsidRDefault="00412138" w:rsidP="004B0620">
      <w:pPr>
        <w:pStyle w:val="11"/>
        <w:spacing w:after="0"/>
        <w:ind w:left="0" w:firstLine="720"/>
        <w:jc w:val="both"/>
      </w:pPr>
      <w:r w:rsidRPr="001A7679">
        <w:t>Бюджет міста на 201</w:t>
      </w:r>
      <w:r w:rsidR="00F02C57" w:rsidRPr="001A7679">
        <w:t>5</w:t>
      </w:r>
      <w:r w:rsidRPr="001A7679">
        <w:t xml:space="preserve"> рік сформовано виходячи з таких пріоритетів: реальності та збалансованості усіх показників, соціальної спрямованості, концентрації бюджетних ресурсів на ключових напрямках соціально-економічного розвитку міста.</w:t>
      </w:r>
    </w:p>
    <w:p w:rsidR="00412138" w:rsidRPr="003D37D6" w:rsidRDefault="00412138" w:rsidP="004B062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620">
        <w:rPr>
          <w:rFonts w:ascii="Times New Roman" w:hAnsi="Times New Roman" w:cs="Times New Roman"/>
          <w:sz w:val="24"/>
          <w:szCs w:val="24"/>
        </w:rPr>
        <w:t xml:space="preserve">Надходження міського бюджету заплановані відповідно до </w:t>
      </w:r>
      <w:hyperlink r:id="rId5" w:anchor="n1012" w:tooltip="Глава 11." w:history="1">
        <w:r w:rsidR="003D37D6" w:rsidRPr="004B062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Глави 11. Надходження та витрати місцевих бюджетів</w:t>
        </w:r>
      </w:hyperlink>
      <w:r w:rsidR="003D37D6" w:rsidRPr="004B06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6" w:anchor="n1011" w:tooltip="Розділ III." w:history="1">
        <w:r w:rsidR="003D37D6" w:rsidRPr="004B062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Розділ</w:t>
        </w:r>
      </w:hyperlink>
      <w:r w:rsidR="003D37D6" w:rsidRPr="004B062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ІІІ Місцеві бюджети </w:t>
      </w:r>
      <w:r w:rsidRPr="004B0620">
        <w:rPr>
          <w:rFonts w:ascii="Times New Roman" w:hAnsi="Times New Roman" w:cs="Times New Roman"/>
          <w:sz w:val="24"/>
          <w:szCs w:val="24"/>
        </w:rPr>
        <w:t xml:space="preserve">Бюджетного Кодексу України, а також Податкового Кодексу України. Таким чином, склад надходжень загального та спеціального фондів відрізняється від попереднього бюджетного року. </w:t>
      </w:r>
      <w:proofErr w:type="spellStart"/>
      <w:r w:rsidRPr="004B0620">
        <w:rPr>
          <w:rFonts w:ascii="Times New Roman" w:hAnsi="Times New Roman" w:cs="Times New Roman"/>
          <w:sz w:val="24"/>
          <w:szCs w:val="24"/>
          <w:lang w:val="ru-RU"/>
        </w:rPr>
        <w:t>Розподіл</w:t>
      </w:r>
      <w:proofErr w:type="spellEnd"/>
      <w:r w:rsidRPr="004B06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B062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B06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B0620">
        <w:rPr>
          <w:rFonts w:ascii="Times New Roman" w:hAnsi="Times New Roman" w:cs="Times New Roman"/>
          <w:sz w:val="24"/>
          <w:szCs w:val="24"/>
          <w:lang w:val="ru-RU"/>
        </w:rPr>
        <w:t>місцевого</w:t>
      </w:r>
      <w:proofErr w:type="spellEnd"/>
      <w:r w:rsidRPr="004B0620">
        <w:rPr>
          <w:rFonts w:ascii="Times New Roman" w:hAnsi="Times New Roman" w:cs="Times New Roman"/>
          <w:sz w:val="24"/>
          <w:szCs w:val="24"/>
          <w:lang w:val="ru-RU"/>
        </w:rPr>
        <w:t xml:space="preserve"> бюджету на 201</w:t>
      </w:r>
      <w:r w:rsidR="00F02C57" w:rsidRPr="004B062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06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B062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B0620">
        <w:rPr>
          <w:rFonts w:ascii="Times New Roman" w:hAnsi="Times New Roman" w:cs="Times New Roman"/>
          <w:sz w:val="24"/>
          <w:szCs w:val="24"/>
          <w:lang w:val="ru-RU"/>
        </w:rPr>
        <w:t>ік</w:t>
      </w:r>
      <w:proofErr w:type="spellEnd"/>
      <w:r w:rsidRPr="004B0620">
        <w:rPr>
          <w:rFonts w:ascii="Times New Roman" w:hAnsi="Times New Roman" w:cs="Times New Roman"/>
          <w:sz w:val="24"/>
          <w:szCs w:val="24"/>
          <w:lang w:val="ru-RU"/>
        </w:rPr>
        <w:t xml:space="preserve"> мал </w:t>
      </w:r>
      <w:r w:rsidR="004B0620" w:rsidRPr="004B062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B06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B0620" w:rsidRPr="004B0620">
        <w:rPr>
          <w:rFonts w:ascii="Times New Roman" w:hAnsi="Times New Roman" w:cs="Times New Roman"/>
          <w:sz w:val="24"/>
          <w:szCs w:val="24"/>
        </w:rPr>
        <w:t xml:space="preserve"> Структура загального фонду бюджету за видами податкових надходжень наведена на мал.2</w:t>
      </w:r>
      <w:r w:rsidR="004B0620" w:rsidRPr="004B06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0620" w:rsidRPr="004B0620" w:rsidRDefault="004B0620" w:rsidP="004B0620">
      <w:pPr>
        <w:pStyle w:val="11"/>
        <w:spacing w:after="0"/>
        <w:ind w:left="0" w:firstLine="720"/>
        <w:jc w:val="both"/>
      </w:pPr>
      <w:r w:rsidRPr="001A7679">
        <w:t xml:space="preserve">Обсяг </w:t>
      </w:r>
      <w:r>
        <w:t xml:space="preserve">податкових надходжень до загального фонду бюджету Зеленодольської міської ради планується в обсязі </w:t>
      </w:r>
      <w:r w:rsidRPr="001A7679">
        <w:t xml:space="preserve"> </w:t>
      </w:r>
      <w:r>
        <w:t>19322503грн. Обсяг неподаткових надходжень бюджету Зеленодольської міської ради планується в обсязі 33425грн.</w:t>
      </w:r>
    </w:p>
    <w:p w:rsidR="004B0620" w:rsidRPr="001A7679" w:rsidRDefault="004B0620" w:rsidP="004B0620">
      <w:pPr>
        <w:pStyle w:val="11"/>
        <w:spacing w:after="0"/>
        <w:ind w:left="0" w:firstLine="720"/>
        <w:jc w:val="both"/>
      </w:pPr>
      <w:r w:rsidRPr="001A7679">
        <w:t xml:space="preserve">Власні надходження бюджетних установ плануються згідно з кошторисними розрахунками бюджетних установ в обсязі </w:t>
      </w:r>
      <w:r>
        <w:rPr>
          <w:lang w:val="ru-RU"/>
        </w:rPr>
        <w:t xml:space="preserve">635556,5 </w:t>
      </w:r>
      <w:r w:rsidRPr="001A7679">
        <w:t>грн.</w:t>
      </w:r>
      <w:r>
        <w:t xml:space="preserve"> </w:t>
      </w:r>
    </w:p>
    <w:p w:rsidR="004B0620" w:rsidRPr="001A7679" w:rsidRDefault="004B0620" w:rsidP="000B4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офіційних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трансфертів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планується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416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0B4169">
        <w:rPr>
          <w:rFonts w:ascii="Times New Roman" w:hAnsi="Times New Roman" w:cs="Times New Roman"/>
          <w:sz w:val="24"/>
          <w:szCs w:val="24"/>
          <w:lang w:val="ru-RU"/>
        </w:rPr>
        <w:t>обсязі</w:t>
      </w:r>
      <w:proofErr w:type="spellEnd"/>
      <w:r w:rsidR="000B4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5848100грн.</w:t>
      </w:r>
    </w:p>
    <w:p w:rsidR="00DE6F55" w:rsidRPr="004B0620" w:rsidRDefault="004B0620" w:rsidP="001A7679">
      <w:pPr>
        <w:pStyle w:val="11"/>
        <w:spacing w:after="0"/>
        <w:ind w:left="0"/>
        <w:jc w:val="both"/>
        <w:rPr>
          <w:i/>
          <w:iCs/>
          <w:lang w:val="ru-RU"/>
        </w:rPr>
      </w:pPr>
      <w:r w:rsidRPr="004B0620">
        <w:rPr>
          <w:i/>
          <w:iCs/>
          <w:noProof/>
          <w:lang w:val="ru-RU"/>
        </w:rPr>
        <w:lastRenderedPageBreak/>
        <w:drawing>
          <wp:inline distT="0" distB="0" distL="0" distR="0">
            <wp:extent cx="5761892" cy="5843954"/>
            <wp:effectExtent l="0" t="0" r="0" b="0"/>
            <wp:docPr id="5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0620" w:rsidRPr="001A7679" w:rsidRDefault="004B0620" w:rsidP="004B0620">
      <w:pPr>
        <w:pStyle w:val="11"/>
        <w:spacing w:after="0"/>
        <w:ind w:left="0" w:firstLine="720"/>
        <w:jc w:val="both"/>
        <w:rPr>
          <w:i/>
          <w:iCs/>
        </w:rPr>
      </w:pPr>
      <w:r w:rsidRPr="001A7679">
        <w:rPr>
          <w:i/>
          <w:iCs/>
        </w:rPr>
        <w:t>мал. 2  Розподіл доходів місцевого бюджету на 201</w:t>
      </w:r>
      <w:r>
        <w:rPr>
          <w:i/>
          <w:iCs/>
        </w:rPr>
        <w:t>5</w:t>
      </w:r>
      <w:r w:rsidRPr="001A7679">
        <w:rPr>
          <w:i/>
          <w:iCs/>
        </w:rPr>
        <w:t xml:space="preserve">р </w:t>
      </w:r>
    </w:p>
    <w:p w:rsidR="00DE6F55" w:rsidRDefault="00DE6F55" w:rsidP="001A7679">
      <w:pPr>
        <w:pStyle w:val="11"/>
        <w:spacing w:after="0"/>
        <w:ind w:left="0"/>
        <w:jc w:val="both"/>
        <w:rPr>
          <w:i/>
          <w:iCs/>
        </w:rPr>
        <w:sectPr w:rsidR="00DE6F55" w:rsidSect="005D09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7823" w:rsidRDefault="00DE6F55" w:rsidP="001A7679">
      <w:pPr>
        <w:pStyle w:val="11"/>
        <w:spacing w:after="0"/>
        <w:ind w:left="0"/>
        <w:jc w:val="both"/>
        <w:rPr>
          <w:i/>
          <w:iCs/>
        </w:rPr>
      </w:pPr>
      <w:r w:rsidRPr="00DE6F55">
        <w:rPr>
          <w:i/>
          <w:iCs/>
          <w:noProof/>
          <w:lang w:val="ru-RU"/>
        </w:rPr>
        <w:lastRenderedPageBreak/>
        <w:drawing>
          <wp:inline distT="0" distB="0" distL="0" distR="0">
            <wp:extent cx="9171843" cy="5496999"/>
            <wp:effectExtent l="19050" t="0" r="10257" b="845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6F55" w:rsidRDefault="00DE6F55" w:rsidP="00DE6F55">
      <w:pPr>
        <w:pStyle w:val="11"/>
        <w:spacing w:after="0"/>
        <w:ind w:left="0"/>
        <w:jc w:val="both"/>
        <w:rPr>
          <w:i/>
          <w:iCs/>
        </w:rPr>
      </w:pPr>
      <w:r w:rsidRPr="001A7679">
        <w:rPr>
          <w:i/>
          <w:iCs/>
        </w:rPr>
        <w:t>мал.1 Структура загального фонду бюджету Зеленодольської міської ради на 201</w:t>
      </w:r>
      <w:r>
        <w:rPr>
          <w:i/>
          <w:iCs/>
        </w:rPr>
        <w:t>5</w:t>
      </w:r>
      <w:r w:rsidRPr="001A7679">
        <w:rPr>
          <w:i/>
          <w:iCs/>
        </w:rPr>
        <w:t>р. за  видами податкових надходжень</w:t>
      </w:r>
    </w:p>
    <w:p w:rsidR="00412138" w:rsidRPr="001A7679" w:rsidRDefault="00412138" w:rsidP="001A7679">
      <w:pPr>
        <w:pStyle w:val="11"/>
        <w:spacing w:after="0"/>
        <w:ind w:left="0"/>
        <w:jc w:val="both"/>
        <w:rPr>
          <w:lang w:val="ru-RU"/>
        </w:rPr>
      </w:pPr>
    </w:p>
    <w:sectPr w:rsidR="00412138" w:rsidRPr="001A7679" w:rsidSect="00DE6F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65E"/>
    <w:multiLevelType w:val="hybridMultilevel"/>
    <w:tmpl w:val="A8EE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981E59"/>
    <w:multiLevelType w:val="hybridMultilevel"/>
    <w:tmpl w:val="F308185C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13AD0916"/>
    <w:multiLevelType w:val="hybridMultilevel"/>
    <w:tmpl w:val="7DB2776E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8B20D58"/>
    <w:multiLevelType w:val="hybridMultilevel"/>
    <w:tmpl w:val="75663288"/>
    <w:lvl w:ilvl="0" w:tplc="D004B22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C221B"/>
    <w:multiLevelType w:val="hybridMultilevel"/>
    <w:tmpl w:val="7444F3FC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D1069"/>
    <w:multiLevelType w:val="hybridMultilevel"/>
    <w:tmpl w:val="03029D4A"/>
    <w:lvl w:ilvl="0" w:tplc="CA0816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9D0C24"/>
    <w:multiLevelType w:val="multilevel"/>
    <w:tmpl w:val="05E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DD75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159553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678F26CD"/>
    <w:multiLevelType w:val="hybridMultilevel"/>
    <w:tmpl w:val="B250213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08186C"/>
    <w:multiLevelType w:val="hybridMultilevel"/>
    <w:tmpl w:val="2A94DE62"/>
    <w:lvl w:ilvl="0" w:tplc="0419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9D72BE3"/>
    <w:multiLevelType w:val="hybridMultilevel"/>
    <w:tmpl w:val="062C308A"/>
    <w:lvl w:ilvl="0" w:tplc="F828DAB6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BD46CB6"/>
    <w:multiLevelType w:val="multilevel"/>
    <w:tmpl w:val="B0D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373003"/>
    <w:multiLevelType w:val="hybridMultilevel"/>
    <w:tmpl w:val="E82EEE3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6">
    <w:nsid w:val="76630643"/>
    <w:multiLevelType w:val="multilevel"/>
    <w:tmpl w:val="DE5AB7A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785E79D2"/>
    <w:multiLevelType w:val="hybridMultilevel"/>
    <w:tmpl w:val="85D6C9E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14"/>
  </w:num>
  <w:num w:numId="11">
    <w:abstractNumId w:val="12"/>
  </w:num>
  <w:num w:numId="12">
    <w:abstractNumId w:val="16"/>
  </w:num>
  <w:num w:numId="13">
    <w:abstractNumId w:val="15"/>
  </w:num>
  <w:num w:numId="14">
    <w:abstractNumId w:val="4"/>
  </w:num>
  <w:num w:numId="15">
    <w:abstractNumId w:val="8"/>
  </w:num>
  <w:num w:numId="16">
    <w:abstractNumId w:val="3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412138"/>
    <w:rsid w:val="00010E8A"/>
    <w:rsid w:val="000336D7"/>
    <w:rsid w:val="000B4169"/>
    <w:rsid w:val="000E3BEC"/>
    <w:rsid w:val="001A7679"/>
    <w:rsid w:val="001E2ABF"/>
    <w:rsid w:val="00285801"/>
    <w:rsid w:val="00285F7C"/>
    <w:rsid w:val="003D37D6"/>
    <w:rsid w:val="003E1235"/>
    <w:rsid w:val="00412138"/>
    <w:rsid w:val="0047290D"/>
    <w:rsid w:val="00472D79"/>
    <w:rsid w:val="004B0620"/>
    <w:rsid w:val="00523287"/>
    <w:rsid w:val="0058706A"/>
    <w:rsid w:val="005D09E1"/>
    <w:rsid w:val="006024BF"/>
    <w:rsid w:val="006E4F50"/>
    <w:rsid w:val="00704C99"/>
    <w:rsid w:val="00844526"/>
    <w:rsid w:val="009E623F"/>
    <w:rsid w:val="00A24A01"/>
    <w:rsid w:val="00A37823"/>
    <w:rsid w:val="00A87A45"/>
    <w:rsid w:val="00B2423D"/>
    <w:rsid w:val="00B441E4"/>
    <w:rsid w:val="00BE6F78"/>
    <w:rsid w:val="00C17C9E"/>
    <w:rsid w:val="00C664D4"/>
    <w:rsid w:val="00CB5987"/>
    <w:rsid w:val="00DC290C"/>
    <w:rsid w:val="00DE6F55"/>
    <w:rsid w:val="00E511CA"/>
    <w:rsid w:val="00E949DA"/>
    <w:rsid w:val="00F02C57"/>
    <w:rsid w:val="00F13EFC"/>
    <w:rsid w:val="00F83F40"/>
    <w:rsid w:val="00FF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38"/>
    <w:rPr>
      <w:rFonts w:ascii="Calibri" w:eastAsia="Times New Roman" w:hAnsi="Calibri" w:cs="Calibri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23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2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1213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12138"/>
    <w:pPr>
      <w:keepNext/>
      <w:spacing w:after="0" w:line="240" w:lineRule="auto"/>
      <w:ind w:left="-288" w:right="-1"/>
      <w:jc w:val="center"/>
      <w:outlineLvl w:val="4"/>
    </w:pPr>
    <w:rPr>
      <w:rFonts w:ascii="Arial" w:eastAsia="Calibri" w:hAnsi="Arial" w:cs="Arial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412138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1213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rsid w:val="00412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basedOn w:val="a0"/>
    <w:rsid w:val="004121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1213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rsid w:val="00412138"/>
    <w:rPr>
      <w:rFonts w:ascii="Times New Roman" w:eastAsia="Calibri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412138"/>
    <w:rPr>
      <w:rFonts w:ascii="Arial" w:eastAsia="Calibri" w:hAnsi="Arial" w:cs="Arial"/>
      <w:b/>
      <w:bCs/>
      <w:lang w:val="uk-UA" w:eastAsia="ru-RU"/>
    </w:rPr>
  </w:style>
  <w:style w:type="character" w:customStyle="1" w:styleId="80">
    <w:name w:val="Заголовок 8 Знак"/>
    <w:basedOn w:val="a0"/>
    <w:link w:val="8"/>
    <w:rsid w:val="00412138"/>
    <w:rPr>
      <w:rFonts w:ascii="Times New Roman" w:eastAsia="Calibri" w:hAnsi="Times New Roman" w:cs="Times New Roman"/>
      <w:i/>
      <w:iCs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412138"/>
    <w:pPr>
      <w:spacing w:after="0" w:line="240" w:lineRule="auto"/>
      <w:ind w:firstLine="851"/>
      <w:jc w:val="both"/>
    </w:pPr>
    <w:rPr>
      <w:rFonts w:ascii="Arial" w:eastAsia="Calibri" w:hAnsi="Arial" w:cs="Arial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12138"/>
    <w:rPr>
      <w:rFonts w:ascii="Arial" w:eastAsia="Calibri" w:hAnsi="Arial" w:cs="Arial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link w:val="BodyTextIndentChar"/>
    <w:rsid w:val="0041213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0"/>
    <w:link w:val="11"/>
    <w:rsid w:val="00412138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41213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2138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41213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2138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1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13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23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9">
    <w:name w:val="Title"/>
    <w:basedOn w:val="a"/>
    <w:link w:val="aa"/>
    <w:qFormat/>
    <w:rsid w:val="00E949DA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E949D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b">
    <w:name w:val="Table Grid"/>
    <w:basedOn w:val="a1"/>
    <w:uiPriority w:val="59"/>
    <w:rsid w:val="00CB59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E4F50"/>
    <w:pPr>
      <w:ind w:left="720"/>
      <w:contextualSpacing/>
    </w:pPr>
  </w:style>
  <w:style w:type="paragraph" w:styleId="ad">
    <w:name w:val="Block Text"/>
    <w:basedOn w:val="a"/>
    <w:rsid w:val="000336D7"/>
    <w:pPr>
      <w:spacing w:after="0" w:line="240" w:lineRule="auto"/>
      <w:ind w:left="-108" w:right="-49"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2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e">
    <w:name w:val="Hyperlink"/>
    <w:basedOn w:val="a0"/>
    <w:uiPriority w:val="99"/>
    <w:semiHidden/>
    <w:unhideWhenUsed/>
    <w:rsid w:val="003D3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laws/show/2456-17/paran1011" TargetMode="External"/><Relationship Id="rId5" Type="http://schemas.openxmlformats.org/officeDocument/2006/relationships/hyperlink" Target="http://zakon1.rada.gov.ua/laws/show/2456-17/paran10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320"/>
      <c:perspective val="0"/>
    </c:view3D>
    <c:plotArea>
      <c:layout>
        <c:manualLayout>
          <c:layoutTarget val="inner"/>
          <c:xMode val="edge"/>
          <c:yMode val="edge"/>
          <c:x val="1.9807707945732125E-2"/>
          <c:y val="1.2354791679397693E-3"/>
          <c:w val="0.91111617503417253"/>
          <c:h val="0.70525058889922787"/>
        </c:manualLayout>
      </c:layout>
      <c:pie3DChart>
        <c:varyColors val="1"/>
        <c:ser>
          <c:idx val="0"/>
          <c:order val="0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9999FF"/>
            </a:solidFill>
            <a:ln w="7538">
              <a:solidFill>
                <a:srgbClr val="000000"/>
              </a:solidFill>
              <a:prstDash val="solid"/>
            </a:ln>
          </c:spPr>
          <c:explosion val="13"/>
          <c:dPt>
            <c:idx val="1"/>
            <c:spPr>
              <a:solidFill>
                <a:srgbClr val="993366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15076">
                <a:noFill/>
              </a:ln>
            </c:spPr>
            <c:txPr>
              <a:bodyPr/>
              <a:lstStyle/>
              <a:p>
                <a:pPr>
                  <a:defRPr sz="1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Sheet1!$A$1:$B$1</c:f>
              <c:strCache>
                <c:ptCount val="2"/>
                <c:pt idx="0">
                  <c:v>Загальний фонд, грн</c:v>
                </c:pt>
                <c:pt idx="1">
                  <c:v>Спеціальний фонд, грн</c:v>
                </c:pt>
              </c:strCache>
            </c:strRef>
          </c:cat>
          <c:val>
            <c:numRef>
              <c:f>Sheet1!$A$2:$B$2</c:f>
              <c:numCache>
                <c:formatCode>General</c:formatCode>
                <c:ptCount val="2"/>
                <c:pt idx="0">
                  <c:v>25204028</c:v>
                </c:pt>
                <c:pt idx="1">
                  <c:v>635556.5</c:v>
                </c:pt>
              </c:numCache>
            </c:numRef>
          </c:val>
        </c:ser>
        <c:ser>
          <c:idx val="1"/>
          <c:order val="1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993366"/>
            </a:solidFill>
            <a:ln w="7538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Sheet1!$A$1:$B$1</c:f>
              <c:strCache>
                <c:ptCount val="2"/>
                <c:pt idx="0">
                  <c:v>Загальний фонд, грн</c:v>
                </c:pt>
                <c:pt idx="1">
                  <c:v>Спеціальний фонд, грн</c:v>
                </c:pt>
              </c:strCache>
            </c:strRef>
          </c:cat>
          <c:val>
            <c:numRef>
              <c:f>Sheet1!$A$3:$B$3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FFFFCC"/>
            </a:solidFill>
            <a:ln w="7538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753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Sheet1!$A$1:$B$1</c:f>
              <c:strCache>
                <c:ptCount val="2"/>
                <c:pt idx="0">
                  <c:v>Загальний фонд, грн</c:v>
                </c:pt>
                <c:pt idx="1">
                  <c:v>Спеціальний фонд, грн</c:v>
                </c:pt>
              </c:strCache>
            </c:strRef>
          </c:cat>
          <c:val>
            <c:numRef>
              <c:f>Sheet1!$A$4:$B$4</c:f>
              <c:numCache>
                <c:formatCode>General</c:formatCode>
                <c:ptCount val="2"/>
              </c:numCache>
            </c:numRef>
          </c:val>
        </c:ser>
      </c:pie3DChart>
      <c:spPr>
        <a:solidFill>
          <a:srgbClr val="C0C0C0"/>
        </a:solidFill>
        <a:ln w="753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75607873247187"/>
          <c:y val="0.87504282203453398"/>
          <c:w val="0.29595925201261131"/>
          <c:h val="0.10019584938572947"/>
        </c:manualLayout>
      </c:layout>
      <c:spPr>
        <a:noFill/>
        <a:ln w="188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1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загального фонду бюджету за видами податкових надходжень на 2015 рік</a:t>
            </a:r>
            <a:endParaRPr lang="ru-RU"/>
          </a:p>
        </c:rich>
      </c:tx>
      <c:layout>
        <c:manualLayout>
          <c:xMode val="edge"/>
          <c:yMode val="edge"/>
          <c:x val="0.20845740281224184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1702267854040597"/>
          <c:w val="0.82310899878210009"/>
          <c:h val="0.85842050433247163"/>
        </c:manualLayout>
      </c:layout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cat>
            <c:numRef>
              <c:f>'Лист1'!$A$2:$A$12</c:f>
              <c:numCache>
                <c:formatCode>General</c:formatCode>
                <c:ptCount val="11"/>
                <c:pt idx="0">
                  <c:v>11020000</c:v>
                </c:pt>
                <c:pt idx="1">
                  <c:v>13020000</c:v>
                </c:pt>
                <c:pt idx="2">
                  <c:v>14000000</c:v>
                </c:pt>
                <c:pt idx="3">
                  <c:v>18010000</c:v>
                </c:pt>
                <c:pt idx="4">
                  <c:v>18050000</c:v>
                </c:pt>
                <c:pt idx="5">
                  <c:v>19010000</c:v>
                </c:pt>
                <c:pt idx="6">
                  <c:v>21000000</c:v>
                </c:pt>
                <c:pt idx="7">
                  <c:v>22000000</c:v>
                </c:pt>
                <c:pt idx="8">
                  <c:v>24000000</c:v>
                </c:pt>
                <c:pt idx="9">
                  <c:v>25000000</c:v>
                </c:pt>
                <c:pt idx="10">
                  <c:v>40000000</c:v>
                </c:pt>
              </c:numCache>
            </c:numRef>
          </c:cat>
          <c:val>
            <c:numRef>
              <c:f>'Лист1'!$B$2:$B$12</c:f>
              <c:numCache>
                <c:formatCode>General</c:formatCode>
                <c:ptCount val="11"/>
                <c:pt idx="0">
                  <c:v>5000</c:v>
                </c:pt>
                <c:pt idx="1">
                  <c:v>26000</c:v>
                </c:pt>
                <c:pt idx="2">
                  <c:v>340600</c:v>
                </c:pt>
                <c:pt idx="3">
                  <c:v>1785260</c:v>
                </c:pt>
                <c:pt idx="4">
                  <c:v>935452</c:v>
                </c:pt>
                <c:pt idx="5">
                  <c:v>16230191</c:v>
                </c:pt>
                <c:pt idx="6">
                  <c:v>748</c:v>
                </c:pt>
                <c:pt idx="7">
                  <c:v>32312</c:v>
                </c:pt>
                <c:pt idx="8">
                  <c:v>365</c:v>
                </c:pt>
                <c:pt idx="9">
                  <c:v>635556.5</c:v>
                </c:pt>
                <c:pt idx="10">
                  <c:v>5848100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14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2015-01-05T06:16:00Z</dcterms:created>
  <dcterms:modified xsi:type="dcterms:W3CDTF">2015-03-30T12:53:00Z</dcterms:modified>
</cp:coreProperties>
</file>