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FF" w:rsidRPr="00BA5DFF" w:rsidRDefault="00BA5DFF" w:rsidP="00BA5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BA5DF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BA5DFF" w:rsidRPr="00BA5DFF" w:rsidRDefault="00BA5DFF" w:rsidP="00BA5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D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 45  чергової сесії  </w:t>
      </w:r>
      <w:proofErr w:type="spellStart"/>
      <w:r w:rsidRPr="00BA5DFF">
        <w:rPr>
          <w:rFonts w:ascii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BA5DFF" w:rsidRPr="00BA5DFF" w:rsidRDefault="00BA5DFF" w:rsidP="00BA5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DFF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VII скликання від 25 квітня  2018 року</w:t>
      </w:r>
    </w:p>
    <w:tbl>
      <w:tblPr>
        <w:tblpPr w:leftFromText="180" w:rightFromText="180" w:bottomFromText="200" w:vertAnchor="text" w:horzAnchor="margin" w:tblpX="40" w:tblpY="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497"/>
        <w:gridCol w:w="850"/>
      </w:tblGrid>
      <w:tr w:rsidR="00BA5DFF" w:rsidRPr="00BA5DFF" w:rsidTr="00BA5DFF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left="360"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BA5DFF" w:rsidRPr="00BA5DFF" w:rsidTr="00BA5DFF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інформацію  старости щодо  роботи 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Великокостромського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округу  за 2017 рік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Фартушний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постійної комісії ради щодо вивчення фінансового стану комунальних підприємств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Калашніков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затвердження та внесення змін до міських програм на 2018  рік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від 20.12.17 р. № 625 «Про міський бюджет на 2018  рік»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 виконання міського бюджету за І квартал 2018 року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Олійник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Плану соціально-економічного розвитку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об’єднаної територіальної громади на 2018 рік, затвердженої рішенням </w:t>
            </w: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№626  від 20.12.2017 року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Доп.Постна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звернення</w:t>
            </w:r>
          </w:p>
          <w:p w:rsidR="00BA5DFF" w:rsidRPr="00BA5DFF" w:rsidRDefault="00BA5DFF" w:rsidP="00BA5DFF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Мухін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Про встановлення розміру кошторисної заробітної плати при визначенні вартості будівництва об’єктів, що споруджуються із залученням бюджетних коштів, коштів державних і  комунальних підприємств, установ та організацій; кредитів, наданих під державні гарантії, а також за кошти місцевого бюджету на 2018 рік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Мороз І.В.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Про затвердження Стратегії сталого розвитку </w:t>
            </w:r>
            <w:proofErr w:type="spellStart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ОТГ на 2018 -2028 роки"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 Ярошенко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Про затвердження пріоритетної послуги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 Ярошенко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надання матеріальної допомоги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Доп.Чудак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Л.Ф.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преміювання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Блок земельних питань</w:t>
            </w:r>
          </w:p>
          <w:p w:rsidR="00BA5DFF" w:rsidRPr="00BA5DFF" w:rsidRDefault="00BA5DFF" w:rsidP="00B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  <w:p w:rsidR="00BA5DFF" w:rsidRPr="00BA5DFF" w:rsidRDefault="00BA5DFF" w:rsidP="00BA5D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BA5D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BA5D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BA5D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в оренду Гаражному кооперативу «Рух» для колективного гаражного будівництва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Про погодження  надання 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      </w:r>
            <w:proofErr w:type="spellStart"/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</w:t>
            </w:r>
            <w:proofErr w:type="spellStart"/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 надання  дозволу  на  розробку проекту  землеустрою   щодо відведення земельної ділянки  в  оренду фізичній особі для  сінокосіння і випасання худоби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9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</w:t>
            </w:r>
            <w:r w:rsidRPr="00BA5DFF">
              <w:rPr>
                <w:rFonts w:ascii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softHyphen/>
            </w:r>
            <w:r w:rsidRPr="00BA5DFF">
              <w:rPr>
                <w:rFonts w:ascii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устрою щодо встановлення (відновлення) меж земельної ділянки в натурі (на місцевості), з метою надання її у власність</w:t>
            </w:r>
            <w:r w:rsidRPr="00BA5DFF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фізичній особі</w:t>
            </w:r>
            <w:r w:rsidRPr="00BA5DFF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ind w:right="175" w:hanging="426"/>
              <w:jc w:val="both"/>
              <w:rPr>
                <w:rFonts w:ascii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 xml:space="preserve">      Про затвердження технічної документації із землеустрою щодо встановлення (відновлення) меж земельної ділянки в натурі (на місцевості) з метою надання земельної ділянки в користування на умовах особистого строкового сервітуту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встановлення(відновлення)  меж земельної ділянки  в натурі (на місцевості) з метою відведення земельної ділянки в постійне користування для будівництва та обслуговування будівель закладів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 xml:space="preserve">Про погодження проекту землеустрою щодо встановлення (зміни) меж населеного пункту міста Зеленодольська </w:t>
            </w:r>
            <w:proofErr w:type="spellStart"/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>Апостолівського</w:t>
            </w:r>
            <w:proofErr w:type="spellEnd"/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FF" w:rsidRPr="00BA5DFF" w:rsidTr="00BA5DFF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5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</w:pPr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 xml:space="preserve">Про виправлення технічної помилки в рішенні </w:t>
            </w:r>
            <w:proofErr w:type="spellStart"/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Pr="00BA5D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7F8F9"/>
                <w:lang w:val="uk-UA"/>
              </w:rPr>
              <w:t xml:space="preserve">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FF" w:rsidRPr="00BA5DFF" w:rsidRDefault="00BA5DFF" w:rsidP="00BA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5DFF" w:rsidRPr="00BA5DFF" w:rsidRDefault="00BA5DFF" w:rsidP="00BA5DFF">
      <w:pPr>
        <w:rPr>
          <w:rFonts w:cs="Times New Roman"/>
          <w:sz w:val="26"/>
          <w:szCs w:val="26"/>
          <w:lang w:val="uk-UA"/>
        </w:rPr>
      </w:pPr>
    </w:p>
    <w:p w:rsidR="006A19CF" w:rsidRPr="00D66F0E" w:rsidRDefault="006A19CF" w:rsidP="006A1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19CF" w:rsidRDefault="006A19CF" w:rsidP="006A19CF">
      <w:pPr>
        <w:ind w:hanging="142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ПРОЕКТИ</w:t>
      </w:r>
    </w:p>
    <w:p w:rsidR="004E7899" w:rsidRPr="004E7899" w:rsidRDefault="004E7899" w:rsidP="004E78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E7899">
        <w:rPr>
          <w:rFonts w:ascii="Times New Roman" w:hAnsi="Times New Roman" w:cs="Times New Roman"/>
          <w:b/>
          <w:i/>
          <w:sz w:val="24"/>
          <w:szCs w:val="24"/>
        </w:rPr>
        <w:t>Про з</w:t>
      </w:r>
      <w:r w:rsidRPr="004E7899">
        <w:rPr>
          <w:rFonts w:ascii="Times New Roman" w:hAnsi="Times New Roman" w:cs="Times New Roman"/>
          <w:b/>
          <w:i/>
          <w:sz w:val="24"/>
          <w:szCs w:val="24"/>
          <w:lang w:val="uk-UA"/>
        </w:rPr>
        <w:t>віт постійної комі</w:t>
      </w:r>
      <w:proofErr w:type="gramStart"/>
      <w:r w:rsidRPr="004E7899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proofErr w:type="gramEnd"/>
      <w:r w:rsidRPr="004E789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ії ради </w:t>
      </w:r>
    </w:p>
    <w:p w:rsidR="004E7899" w:rsidRPr="004E7899" w:rsidRDefault="004E7899" w:rsidP="004E78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E7899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вивчення фінансового стану комунальних підприємств</w:t>
      </w:r>
    </w:p>
    <w:p w:rsidR="004E7899" w:rsidRPr="004E7899" w:rsidRDefault="004E7899" w:rsidP="004E78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E7899" w:rsidRPr="004E7899" w:rsidRDefault="004E7899" w:rsidP="004E78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Заслухавши інформацію голови постійної комісії 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питань розвитку інфраструктури, комунальної власності, будівництва, житлово-комунального господарства та благоустрою території 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Калашнікова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В.П. щодо результатів перевірки фінансового стану комунальних підприємств :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Зеленодольський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 міський  водоканал», «Ринок»,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Мар’янське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- 1»,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Мар’янське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- 2» , враховуючи висновки комісії щодо подальшого вивчення даного питання ( протокол комісії додається), керуючись п.12 ст. 26 Закону  України «Про місцеве самоврядування в Україні », Зеленодольська міська рада </w:t>
      </w:r>
    </w:p>
    <w:p w:rsidR="004E7899" w:rsidRPr="004E7899" w:rsidRDefault="004E7899" w:rsidP="004E7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899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4E7899" w:rsidRPr="004E7899" w:rsidRDefault="004E7899" w:rsidP="004E7899">
      <w:pPr>
        <w:numPr>
          <w:ilvl w:val="0"/>
          <w:numId w:val="1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Відділу  житлово-комунального господарства, комунальної власності, інфраструктури виконавчого комітету 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організувати здійснення  аудиту  комунальних підприємств :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Зеленодольський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міський водоканал», «Ринок»,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Мар’янське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- 1», «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Мар’янське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- 2» та результати надати до постійної комісії ради.</w:t>
      </w:r>
    </w:p>
    <w:p w:rsidR="004E7899" w:rsidRPr="004E7899" w:rsidRDefault="004E7899" w:rsidP="004E7899">
      <w:pPr>
        <w:numPr>
          <w:ilvl w:val="0"/>
          <w:numId w:val="1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відділу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господарства, комунальної власності, інфраструктури Харчуку В.М. та спеціалісту виконавчого комітету з економічних питань надати комісії: </w:t>
      </w:r>
    </w:p>
    <w:p w:rsidR="004E7899" w:rsidRPr="004E7899" w:rsidRDefault="004E7899" w:rsidP="004E7899">
      <w:pPr>
        <w:numPr>
          <w:ilvl w:val="0"/>
          <w:numId w:val="1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>звіт щодо рентабельності підприємств в 2017 році</w:t>
      </w:r>
      <w:r w:rsidRPr="004E78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899" w:rsidRPr="004E7899" w:rsidRDefault="004E7899" w:rsidP="004E7899">
      <w:pPr>
        <w:numPr>
          <w:ilvl w:val="0"/>
          <w:numId w:val="1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аналіз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фактич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них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4E7899">
        <w:rPr>
          <w:rFonts w:ascii="Times New Roman" w:hAnsi="Times New Roman" w:cs="Times New Roman"/>
          <w:sz w:val="24"/>
          <w:szCs w:val="24"/>
        </w:rPr>
        <w:t xml:space="preserve">трат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4E7899">
        <w:rPr>
          <w:rFonts w:ascii="Times New Roman" w:hAnsi="Times New Roman" w:cs="Times New Roman"/>
          <w:sz w:val="24"/>
          <w:szCs w:val="24"/>
        </w:rPr>
        <w:t xml:space="preserve"> доход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E7899">
        <w:rPr>
          <w:rFonts w:ascii="Times New Roman" w:hAnsi="Times New Roman" w:cs="Times New Roman"/>
          <w:sz w:val="24"/>
          <w:szCs w:val="24"/>
        </w:rPr>
        <w:t xml:space="preserve">в по видам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Pr="004E7899">
        <w:rPr>
          <w:rFonts w:ascii="Times New Roman" w:hAnsi="Times New Roman" w:cs="Times New Roman"/>
          <w:sz w:val="24"/>
          <w:szCs w:val="24"/>
        </w:rPr>
        <w:t xml:space="preserve">в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щомісячних звітах </w:t>
      </w:r>
      <w:r w:rsidRPr="004E7899">
        <w:rPr>
          <w:rFonts w:ascii="Times New Roman" w:hAnsi="Times New Roman" w:cs="Times New Roman"/>
          <w:sz w:val="24"/>
          <w:szCs w:val="24"/>
        </w:rPr>
        <w:t>2017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з визначеною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фактич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ною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собівартістю 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продукц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>;</w:t>
      </w:r>
    </w:p>
    <w:p w:rsidR="004E7899" w:rsidRPr="004E7899" w:rsidRDefault="004E7899" w:rsidP="004E7899">
      <w:pPr>
        <w:numPr>
          <w:ilvl w:val="0"/>
          <w:numId w:val="1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розроблені заходи на 2018 рік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приведе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 діяльності </w:t>
      </w:r>
      <w:r w:rsidRPr="004E7899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ідприємства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рентабельної;</w:t>
      </w:r>
    </w:p>
    <w:p w:rsidR="004E7899" w:rsidRPr="004E7899" w:rsidRDefault="004E7899" w:rsidP="004E7899">
      <w:pPr>
        <w:numPr>
          <w:ilvl w:val="0"/>
          <w:numId w:val="1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4E7899">
        <w:rPr>
          <w:rFonts w:ascii="Times New Roman" w:hAnsi="Times New Roman" w:cs="Times New Roman"/>
          <w:sz w:val="24"/>
          <w:szCs w:val="24"/>
        </w:rPr>
        <w:t xml:space="preserve"> результатам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анал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E7899">
        <w:rPr>
          <w:rFonts w:ascii="Times New Roman" w:hAnsi="Times New Roman" w:cs="Times New Roman"/>
          <w:sz w:val="24"/>
          <w:szCs w:val="24"/>
        </w:rPr>
        <w:t>з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надати економічно обґрунтований  </w:t>
      </w:r>
      <w:r w:rsidRPr="004E7899">
        <w:rPr>
          <w:rFonts w:ascii="Times New Roman" w:hAnsi="Times New Roman" w:cs="Times New Roman"/>
          <w:sz w:val="24"/>
          <w:szCs w:val="24"/>
        </w:rPr>
        <w:t xml:space="preserve"> тариф на вид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E7899">
        <w:rPr>
          <w:rFonts w:ascii="Times New Roman" w:hAnsi="Times New Roman" w:cs="Times New Roman"/>
          <w:sz w:val="24"/>
          <w:szCs w:val="24"/>
        </w:rPr>
        <w:t xml:space="preserve"> д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E7899">
        <w:rPr>
          <w:rFonts w:ascii="Times New Roman" w:hAnsi="Times New Roman" w:cs="Times New Roman"/>
          <w:sz w:val="24"/>
          <w:szCs w:val="24"/>
        </w:rPr>
        <w:t>я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льності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підприємств.</w:t>
      </w:r>
    </w:p>
    <w:p w:rsidR="004E7899" w:rsidRPr="004E7899" w:rsidRDefault="004E7899" w:rsidP="004E7899">
      <w:pPr>
        <w:numPr>
          <w:ilvl w:val="0"/>
          <w:numId w:val="1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відділу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господарства, комунальної власності, інфраструктури Харчуку В.М. щотижнево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надавити звіти постійній комісії ради з питань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та благоустрою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>про хід та результати аудиту.</w:t>
      </w:r>
    </w:p>
    <w:p w:rsidR="004E7899" w:rsidRPr="004E7899" w:rsidRDefault="004E7899" w:rsidP="004E7899">
      <w:pPr>
        <w:numPr>
          <w:ilvl w:val="0"/>
          <w:numId w:val="1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E7899">
        <w:rPr>
          <w:rFonts w:ascii="Times New Roman" w:hAnsi="Times New Roman" w:cs="Times New Roman"/>
          <w:sz w:val="24"/>
          <w:szCs w:val="24"/>
        </w:rPr>
        <w:t>Контроль за в</w:t>
      </w:r>
      <w:proofErr w:type="spellStart"/>
      <w:r w:rsidRPr="004E7899">
        <w:rPr>
          <w:rFonts w:ascii="Times New Roman" w:hAnsi="Times New Roman" w:cs="Times New Roman"/>
          <w:sz w:val="24"/>
          <w:szCs w:val="24"/>
          <w:lang w:val="uk-UA"/>
        </w:rPr>
        <w:t>иконання</w:t>
      </w:r>
      <w:proofErr w:type="spell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7899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ішення покласти </w:t>
      </w:r>
      <w:r w:rsidRPr="004E78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r w:rsidRPr="004E78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ради з 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 xml:space="preserve"> та благоустрою </w:t>
      </w:r>
      <w:proofErr w:type="spellStart"/>
      <w:r w:rsidRPr="004E789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E7899">
        <w:rPr>
          <w:rFonts w:ascii="Times New Roman" w:hAnsi="Times New Roman" w:cs="Times New Roman"/>
          <w:sz w:val="24"/>
          <w:szCs w:val="24"/>
        </w:rPr>
        <w:t>.</w:t>
      </w:r>
    </w:p>
    <w:p w:rsidR="004E7899" w:rsidRPr="004E7899" w:rsidRDefault="004E7899" w:rsidP="004E789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D370B" w:rsidRPr="00D66F0E" w:rsidRDefault="001D370B" w:rsidP="00D66F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 xml:space="preserve">Про інформацію  старости щодо  роботи  </w:t>
      </w:r>
      <w:proofErr w:type="spellStart"/>
      <w:r w:rsidRP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>Великокостромського</w:t>
      </w:r>
      <w:proofErr w:type="spellEnd"/>
      <w:r w:rsidRP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>старостинського</w:t>
      </w:r>
      <w:proofErr w:type="spellEnd"/>
      <w:r w:rsid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 xml:space="preserve"> округу  за2017</w:t>
      </w:r>
      <w:r w:rsidRPr="00D66F0E"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>рік</w:t>
      </w:r>
    </w:p>
    <w:p w:rsidR="001D370B" w:rsidRPr="00D66F0E" w:rsidRDefault="001D370B" w:rsidP="001D370B">
      <w:pPr>
        <w:spacing w:after="0" w:line="240" w:lineRule="auto"/>
        <w:ind w:right="175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Заслухавши інформацію  старости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Фартушного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М.М. щодо  роботи 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Великокостромського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округу  за 2017 рік, керуючись ст.14</w:t>
      </w:r>
      <w:r w:rsidRPr="00D66F0E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відпов</w:t>
      </w:r>
      <w:r w:rsidR="00BF50DE"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ідно до Положення про старосту </w:t>
      </w:r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Зеленодольська міська рада  </w:t>
      </w:r>
      <w:r w:rsidRPr="00D66F0E">
        <w:rPr>
          <w:rFonts w:ascii="Times New Roman" w:hAnsi="Times New Roman" w:cs="Times New Roman"/>
          <w:b/>
          <w:sz w:val="24"/>
          <w:szCs w:val="24"/>
          <w:lang w:val="uk-UA" w:eastAsia="ru-RU"/>
        </w:rPr>
        <w:t>вирішила</w:t>
      </w:r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BF50DE" w:rsidRDefault="001D370B" w:rsidP="00BF50DE">
      <w:pPr>
        <w:spacing w:after="0" w:line="240" w:lineRule="auto"/>
        <w:ind w:right="175"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Інформацію  старости 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Фартушного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Миколи Миколайовича щодо  роботи 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Великокостромського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округу  за 2017 рік прийняти до відома (додається).</w:t>
      </w:r>
    </w:p>
    <w:p w:rsidR="00317D9E" w:rsidRPr="00D66F0E" w:rsidRDefault="00317D9E" w:rsidP="00BF50DE">
      <w:pPr>
        <w:spacing w:after="0" w:line="240" w:lineRule="auto"/>
        <w:ind w:right="175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58FF" w:rsidRPr="00D66F0E" w:rsidRDefault="00BF50DE" w:rsidP="004858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 виконання міського бюджету </w:t>
      </w:r>
      <w:r w:rsidR="004858FF"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 І квартал </w:t>
      </w:r>
      <w:r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4858FF"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2018 року</w:t>
      </w:r>
    </w:p>
    <w:p w:rsidR="004858FF" w:rsidRPr="00D66F0E" w:rsidRDefault="004858FF" w:rsidP="00485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На  підставі п.1.23 ст.26  Закону України «Про місцеве самоврядування в Україні», Зеленодольська міська рада вирішила:                                            </w:t>
      </w:r>
    </w:p>
    <w:p w:rsidR="004858FF" w:rsidRPr="00D66F0E" w:rsidRDefault="004858FF" w:rsidP="004858F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 звіт про виконання бюджету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за   І квартал 2018 року за доходами у сумі 35239263,59 грн., за видатками у сумі 28841731,54 грн., у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:rsidR="004858FF" w:rsidRPr="00D66F0E" w:rsidRDefault="004858FF" w:rsidP="004858FF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фонд міського бюджету :</w:t>
      </w:r>
    </w:p>
    <w:p w:rsidR="004858FF" w:rsidRPr="00D66F0E" w:rsidRDefault="004858FF" w:rsidP="0048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доходами у сумі 29704049,96 грн.,</w:t>
      </w:r>
    </w:p>
    <w:p w:rsidR="004858FF" w:rsidRPr="00D66F0E" w:rsidRDefault="004858FF" w:rsidP="0048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видатками у сумі 28181133,81 грн.</w:t>
      </w:r>
    </w:p>
    <w:p w:rsidR="004858FF" w:rsidRPr="00D66F0E" w:rsidRDefault="004858FF" w:rsidP="0048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спеціальний фонд міського бюджету :</w:t>
      </w:r>
    </w:p>
    <w:p w:rsidR="004858FF" w:rsidRPr="00D66F0E" w:rsidRDefault="004858FF" w:rsidP="0048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доходами у сумі 5535213,63 грн.,</w:t>
      </w:r>
    </w:p>
    <w:p w:rsidR="004858FF" w:rsidRPr="00D66F0E" w:rsidRDefault="004858FF" w:rsidP="0048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видатками у сумі 660597,73 грн.</w:t>
      </w:r>
    </w:p>
    <w:p w:rsidR="004858FF" w:rsidRPr="00D66F0E" w:rsidRDefault="004858FF" w:rsidP="00485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4858FF" w:rsidRPr="00D66F0E" w:rsidRDefault="004858FF" w:rsidP="00485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до звіту про виконання міського бюджету </w:t>
      </w:r>
    </w:p>
    <w:p w:rsidR="004858FF" w:rsidRPr="00D66F0E" w:rsidRDefault="004858FF" w:rsidP="00BF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u w:val="single"/>
          <w:lang w:val="uk-UA"/>
        </w:rPr>
        <w:t>у І кварталі 2018 року</w:t>
      </w:r>
    </w:p>
    <w:p w:rsidR="004858FF" w:rsidRPr="00D66F0E" w:rsidRDefault="004858FF" w:rsidP="00AA3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Доходна частина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міського бюджету у І кварталі 2018 року виконана в сумі 35239,3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по загальному фонду – 29704,1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по спеціальному – 5535,2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До аналогічного показника 2017 року доходи зменшилися на 6884,0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16,3%. За загальним фондом приріст надходжень порівняно із І кварталом 2017 року становить 6522,5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+28,1%, за спеціальним надходження менші проти показника січня-березня 2017 року на 13406,5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70,8%.</w:t>
      </w:r>
    </w:p>
    <w:p w:rsidR="004858FF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Порівняно зі звітним періодом 2017 року питома вага трансфертів, які надходять з інших бюджетів, зросла майже на дев’ять відсоткових пунктів і становить 50,2% в загальному обсязі всіх доходів загального фонду міського бюджету. Відповідно з 59% до 49,8% зменшилася питома вага власних доходів загального фонду міського бюджету. В абсолютному виразі власні доходи надійшли в сумі 14797,0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трансферти з державного і обласного бюджету – в сумі 14907,0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2BAAB0" wp14:editId="6C40182C">
            <wp:extent cx="5829300" cy="3924300"/>
            <wp:effectExtent l="0" t="0" r="19050" b="1905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07CF" w:rsidRPr="00D66F0E" w:rsidRDefault="00D307CF" w:rsidP="00485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58FF" w:rsidRPr="00D66F0E" w:rsidRDefault="004858FF" w:rsidP="00485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станом на 01 квітня 2018 року до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загального фонду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бюджету надійшло 14907,0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трансфертів з державного і обласного бюджетів, це на 5366,4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56,2% більше, ніж надійшло протягом першого кварталу попереднього року. Так, освітньої субвенції з держбюджету, яка спрямовується винятково на оплату праці педагогічних працівників загальноосвітніх навчальних закладів, надійшло впродовж січня-березня в сумі 10410,9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в 2,5 рази (+6180,5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 більше, ніж надійшло за такий же проміжок часу торік. Медичної субвенції надійшло більше ніж у звітному періоді торік на 546,6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(+14,6%), що становить 4288,4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Весь обсяг медичної субвенції спрямовується на утримання закладів первинної та вторинної медичної допомоги, що надається населенню громади. На придбання ліків за пільговими рецептами відповідно до загальнодержавної програми «Доступні ліки» отримано з держбюджету 107,7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(за цей же період торік – 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Відповідно до помісячного розпису асигнувань надійшло 100,0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субвенції з обласного бюджету на виконання доручень виборців депутатами обласної ради у 2018 році.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Вищевказана сума згідно з рішенням депутата обласної ради Волкова В.П. у квітні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спрямована на виплату одноразової допомоги громадянам, які опинилися у скрутному матеріальному становищі на вирішення соціально-побутових потреб тощо. Жодної гривні не надійшло у вигляді додаткової дотації на фінансування переданих з держбюджету видатків з утримання закладів загальної середньої освіти та охорони здоров’я, тоді як  на 01.04.2017 такої дотації надійшло в сумі 1568,4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58FF" w:rsidRPr="00D66F0E" w:rsidRDefault="00D75671" w:rsidP="004858F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EC41F3" wp14:editId="0FAAEBC2">
            <wp:extent cx="6400165" cy="45904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459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8FF" w:rsidRPr="00D66F0E" w:rsidRDefault="004858FF" w:rsidP="00485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станом на 1 квітня 2018 року власні доходи загального фонду міського бюджету виконано в сумі 14797,0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121,4% до плану звітного періоду, понад план залучено 2604,9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В порівнянні з І кварталом 2017 року приріст надходжень забезпечено в сумі 1156,0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(+8,5%).</w:t>
      </w:r>
    </w:p>
    <w:p w:rsidR="004858FF" w:rsidRPr="00D66F0E" w:rsidRDefault="004858FF" w:rsidP="00485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власних доходів загального фонду міського бюджету свідчить про традиційно високу питому вагу податку на доходи з фізичних осіб – 66,6% - 9855,5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Кожна тринадцята гривня зі ста, які акумульовані у січні-березні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на котловому рахунку міського бюджету, являє собою плату за розміщення тимчасово вільних коштів екологічного фонду міського бюджету на депозиті в банківських установах, а це – 1197,4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Трохи більше ніж по 7% від загального обсягу фактичних надходжень  припадає на плату за землю (1143,5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 та єдиний податок (1091,0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Надходження податку на нерухомість становлять 3,8% від усіх надходжень (561,4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); 294,6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(2,0%) становлять надходження акцизного податку; інші податкові і неподаткові надходження дорівнюють 4,4% від усіх залучених до міського бюджету доходів – 653,6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58FF" w:rsidRPr="00D66F0E" w:rsidRDefault="00F60100" w:rsidP="00485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233B48" wp14:editId="01A60FC7">
            <wp:extent cx="5438140" cy="3495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49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8FF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 порівнянні з І кварталом 2017 року приріст власних доходів загального фонду міського бюджету становить 8,5% (+1156,0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Найбільші темпи приросту спостерігаються по сплаті податку на нерухоме майно - +125,9% (+312,9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 до фактичних надходжень січня-березня попереднього року, що пояснюється зміною розмірів мінімальної заробітної плати, у відсотках до якої встановлюється ставка податку на нерухоме майно. Водночас майже вдвічі знизилися темпи надходжень акцизного податку                     (-41,8%), що в грошовому еквіваленті дорівнює -211,3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і обумовлено зарахуванням у І кварталі 2017 року за загального фонду міського бюджету понад 220,0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акцизного податку з реалізованих у грудні 2016 року ПММ.</w:t>
      </w:r>
    </w:p>
    <w:p w:rsidR="004858FF" w:rsidRPr="00D66F0E" w:rsidRDefault="004858FF" w:rsidP="00485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B7F7DE" wp14:editId="5EACF0CA">
            <wp:extent cx="5686425" cy="2905125"/>
            <wp:effectExtent l="0" t="0" r="9525" b="952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58FF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Якщо порівняти виконання доходної частини з аналогічним періодом попереднього року в абсолютних величинах зростання, то найбільше зросли надходження податку на доходи з фізичних осіб (+1258,6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), на третину мільйона збільшилися відрахування до міського бюджету з податку на нерухоме майно. Ще майже на 130,0 тисяч гривень в загальному підсумку додали надходження єдиного податку, плати за землю та інших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полаткових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і неподаткових надходжень. Водночас зменшилися надходження акцизного податку та надходження від розміщення тимчасово вільних коштів в банківських установах на суму понад 0,5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млн.гривень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Зменшення надходжень від розміщення в банківських установах тимчасово вільних коштів спричинено зниженням банківських ставок із 18% торік до 10%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цьогоріч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58FF" w:rsidRPr="00D66F0E" w:rsidRDefault="004858FF" w:rsidP="00485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9E6554" wp14:editId="76A2093A">
            <wp:extent cx="5791200" cy="3867150"/>
            <wp:effectExtent l="0" t="0" r="19050" b="1905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E6F47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58FF" w:rsidRPr="00D66F0E" w:rsidRDefault="004858FF" w:rsidP="00663B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Загалом же у І кварталі 2018 року  виконання плану січня-березня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 основних джерел надходжень має такий вигляд:</w:t>
      </w:r>
    </w:p>
    <w:p w:rsidR="004858FF" w:rsidRPr="00D66F0E" w:rsidRDefault="004858FF" w:rsidP="00AA313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ПДФО надійшло в сумі 9855,5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, що на 615,5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6,7% перевищує планові показники;</w:t>
      </w:r>
    </w:p>
    <w:p w:rsidR="004858FF" w:rsidRPr="00D66F0E" w:rsidRDefault="004858FF" w:rsidP="002B7C2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єдиного податку надійшло в сумі 1091,0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, що на 19,0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131" w:rsidRPr="00D66F0E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1,7% менше за планові показники;</w:t>
      </w:r>
    </w:p>
    <w:p w:rsidR="004858FF" w:rsidRPr="00D66F0E" w:rsidRDefault="004858FF" w:rsidP="002B7C2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акцизного податку надійшло в сумі 294,6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гривень, що на 24,6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 або на 9,1% перевищує планові показники;</w:t>
      </w:r>
    </w:p>
    <w:p w:rsidR="004858FF" w:rsidRPr="00D66F0E" w:rsidRDefault="004858FF" w:rsidP="002B7C2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плати за землю надійшло в сумі 1143,5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гривень, що на 393,5 тис.</w:t>
      </w:r>
      <w:r w:rsidR="002B7C21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 або на 52,5% перевищує планові показники;</w:t>
      </w:r>
    </w:p>
    <w:p w:rsidR="004858FF" w:rsidRPr="00D66F0E" w:rsidRDefault="004858FF" w:rsidP="002B7C2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податку на нерухоме майно надійшло в сумі 561,4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гривень, що на 349,9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гривень або в 1,6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раза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перевищує планові показники;</w:t>
      </w:r>
    </w:p>
    <w:p w:rsidR="004858FF" w:rsidRPr="00D66F0E" w:rsidRDefault="004858FF" w:rsidP="002B7C21">
      <w:pPr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інших податкових і неподаткових надходжень мобілізовано до загального фонду міського бюджету в сумі 653,6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гривень, що на 43,0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гривень або на 7,0% перевищує планові показники.</w:t>
      </w:r>
    </w:p>
    <w:p w:rsidR="00AA3131" w:rsidRPr="00D66F0E" w:rsidRDefault="004858FF" w:rsidP="00AA3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спеціального фонду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міського бюджету протягом січня-березня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мобілізовано 5535,2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становить 51,2% до уточненого річного плану та на 70,8% менше, ніж фактично надійшло у звітному періоді 2017 року. Екологічного податку, доля якого в структурі надходжень становить 92,6%, надійшло в сумі 5124,4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, що менше за торішній показник на 72,6%. Зменшення надходжень спричинено по найбільшому платнику цього податку – Криворізькій ТЕС, яка забезпечує перерахування 99% цього виду надходжень. Власних надходжень бюджетних установ у звітному періоді надійшло в обсязі 403,2 тис.</w:t>
      </w:r>
      <w:r w:rsidR="00E96C6A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гривень, що на 49,0% більше за фактичні надходження січня-березня попереднього року. Надходження коштів пайової участі у розвитку інфраструктури населеного пункту становлять у звітному періоді 7,7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Видаткову частину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бюджету за І квартал 201</w:t>
      </w:r>
      <w:r w:rsidRPr="00D66F0E">
        <w:rPr>
          <w:rFonts w:ascii="Times New Roman" w:hAnsi="Times New Roman" w:cs="Times New Roman"/>
          <w:sz w:val="24"/>
          <w:szCs w:val="24"/>
        </w:rPr>
        <w:t xml:space="preserve">8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року виконано в сумі 28841,7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загальний фонд </w:t>
      </w:r>
      <w:r w:rsidRPr="00D66F0E">
        <w:rPr>
          <w:rFonts w:ascii="Times New Roman" w:hAnsi="Times New Roman" w:cs="Times New Roman"/>
          <w:sz w:val="24"/>
          <w:szCs w:val="24"/>
        </w:rPr>
        <w:t>2818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>1,1</w:t>
      </w:r>
      <w:r w:rsidRPr="00D66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спеціальний фонд – 660,6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Порівнюючи із І кварталом 2017 року, видатки зросли на 3870,4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за загальним фондом – на 4318,1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18,1%, за спеціальним фондом видатки зменшилися на 447,7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на 40,4%.</w:t>
      </w:r>
    </w:p>
    <w:p w:rsidR="00F60100" w:rsidRPr="00D66F0E" w:rsidRDefault="00F60100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100" w:rsidRPr="00D66F0E" w:rsidRDefault="00F60100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48DB60" wp14:editId="2314BB88">
            <wp:extent cx="6123940" cy="55810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58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BAA" w:rsidRPr="00D66F0E" w:rsidRDefault="004858FF" w:rsidP="00663B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загального фонду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бюджету протягом перших трьох місяців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на утримання виконавчого апарату міської ради перераховано 3595,5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на 1483,5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у І кварталі 2017 року.  На утримання установ і закладів освіти з бюджету перераховано 15122,1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на 3012,0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більше за торішній показник звітного періоду. На 436,5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(до 3170,4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тис.грвиень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 зросли видатки на фінансування заходів міської програми розвитку та реформування первинної медичної допомоги у 2018 році. Майже на рівні січня-березня попереднього року профінансовані видатки в галузі соціального захисту населення, на що витрачено у звітному періоді 130,0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На утримання установ і закладів культури перераховано у І кварталі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1170,8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(за цей же період торік – 1388,9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Фінансова підтримка діяльності дитячо-юнацької спортивної школи Криворізької ТЕС становила у цьому році 306,9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на 111,7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у І кварталі 2017 року. На галузі виробничої сфери (житлово-комунальне господарство, поточні ремонти та поточне утримання доріг, утримання рятувального посту) витрачено протягом січня-березня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565,4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а це на 110,0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більше за показник звітного періоду 2017 року. У вигляді трансфертів до інших бюджетів перераховано з міського бюджету 4119,5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на 605,0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менше, ніж у січні-березні торік.</w:t>
      </w:r>
    </w:p>
    <w:p w:rsidR="0035218C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Виконання плану видатків І кварталу 2018 року в розрізі основних галузей бюджетної сфери наведено нижче.</w:t>
      </w:r>
    </w:p>
    <w:p w:rsidR="004858FF" w:rsidRPr="00D66F0E" w:rsidRDefault="004858FF" w:rsidP="004858F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i/>
          <w:sz w:val="24"/>
          <w:szCs w:val="24"/>
          <w:lang w:val="uk-UA"/>
        </w:rPr>
        <w:t>Таблиця 1 – видатки.</w:t>
      </w:r>
    </w:p>
    <w:p w:rsidR="004858FF" w:rsidRPr="00D66F0E" w:rsidRDefault="004858FF" w:rsidP="004858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Аналіз виконання видаткової частини міського бюджету </w:t>
      </w:r>
    </w:p>
    <w:p w:rsidR="004858FF" w:rsidRPr="00D66F0E" w:rsidRDefault="004858FF" w:rsidP="004858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i/>
          <w:sz w:val="24"/>
          <w:szCs w:val="24"/>
          <w:lang w:val="uk-UA"/>
        </w:rPr>
        <w:t>у січні-березні 2018 року  за галузями бюджетної сфери, гривень</w:t>
      </w: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5637"/>
        <w:gridCol w:w="1984"/>
        <w:gridCol w:w="1418"/>
        <w:gridCol w:w="1559"/>
      </w:tblGrid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Галузі бюджетної сфери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План на січень-березень 2018 року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Касові видатки на 01.04.2018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Виконання плану, %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Державне управління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5 094 788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3 595 455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70,6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22 668 458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15 122 148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66,7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Охорона здоров`я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3 773 663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3 170 396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84,0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Соціальний захист та соціальне забезпечення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437 500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130 500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29,8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Культура i мистецтво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1 498 341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1 170 832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78,1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Фiзична</w:t>
            </w:r>
            <w:proofErr w:type="spellEnd"/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культура i спорт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390 000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306 890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78,7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Житлово-комунальне господарство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729 706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348 700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47,8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Економічна діяльність (землеустрій, утримання і ремонти доріг)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383 500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123 218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32,1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Інша діяльність (рятувальний пост)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115 450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93 494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81,0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Міжбюджетні трансферти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4 119 500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4 119 500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4858FF" w:rsidRPr="00D66F0E" w:rsidTr="00D66F0E">
        <w:trPr>
          <w:trHeight w:val="255"/>
        </w:trPr>
        <w:tc>
          <w:tcPr>
            <w:tcW w:w="5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39 210 906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28 181 134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71,9</w:t>
            </w:r>
          </w:p>
        </w:tc>
      </w:tr>
    </w:tbl>
    <w:p w:rsidR="004858FF" w:rsidRPr="00D66F0E" w:rsidRDefault="004858FF" w:rsidP="004858FF">
      <w:pPr>
        <w:spacing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Аналіз структури касових видатків за економічною суттю платежів традиційно показує високу «соціалізацію» витрат міського бюджету: на соціальні статті витрат у звітному періоді перераховано 23652,8 тис.гривень із 28181,1 тис.гривень, або 83,9%. Торік у січні-березні питома вага соціальний видатків становила 84,2%. З урахуванням видатків на первинну медичну допомогу питома вага соціальних статей витрат міського бюджету перевищить 95%.</w:t>
      </w:r>
    </w:p>
    <w:p w:rsidR="004858FF" w:rsidRPr="00D66F0E" w:rsidRDefault="004858FF" w:rsidP="004858F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B1916" wp14:editId="40AE422D">
            <wp:extent cx="6096000" cy="3782695"/>
            <wp:effectExtent l="0" t="0" r="19050" b="273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398B" w:rsidRPr="00D66F0E" w:rsidRDefault="004858FF" w:rsidP="00D66F0E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Так, протягом І кварталу поточного року на заробітну плату за нарахуваннями перераховано 16415,2 тис.гривень, це 58,2% від усіх профінансованих видатків загального фонду та на 33,1% більше, ніж було профінансовано із загального фонду міського бюджету за цей проміжок часу торік. Кожна сьома гривня загального фонду міського бюджету (14,6%) була перерахована у вигляді субвенцій бюджетам інших рівнів (4119,5 тис.гривень). Майже кожна десята витрачена гривня була перерахована енергопостачальним компаніям на оплату спожитих енергоносіїв і комунальних послуг (2589,8 тис.гривень). Одна гривня із профінансованих ста – це видатки на придбання продуктів харчування у школах і дитячих садках (319,2 тис.гривень). При цьому до попереднього року приріст видатів на продукти харчування становить +25,4%.</w:t>
      </w:r>
    </w:p>
    <w:p w:rsidR="004858FF" w:rsidRPr="00D66F0E" w:rsidRDefault="004858FF" w:rsidP="004858F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t>Таблиця 2 – видатки.</w:t>
      </w:r>
    </w:p>
    <w:p w:rsidR="004858FF" w:rsidRPr="00D66F0E" w:rsidRDefault="004858FF" w:rsidP="004858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</w:pPr>
      <w:r w:rsidRPr="00D66F0E"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t>Динаміка касових видатків загального фонду міського бюджету за економічною структурою у січні-березні 2017-2018 років, гривень</w:t>
      </w:r>
    </w:p>
    <w:tbl>
      <w:tblPr>
        <w:tblW w:w="107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5778"/>
        <w:gridCol w:w="1648"/>
        <w:gridCol w:w="1843"/>
        <w:gridCol w:w="1695"/>
      </w:tblGrid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Статті витрат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Використано на 01.04.2017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Використано на 01.04.2018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Відхилення від попереднього року, %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23 862 970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28 181 134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18,1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Оплата праці і нарахування на заробітну плату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12 332 968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16 415 171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33,1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Медикаменти та перев`язувальні матеріали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8 670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8 932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3,0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Продукти харчування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254 603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319 230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25,4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2 647 868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2 589 838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-2,2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4 724 600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4 119 500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-12,8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Соціальне забезпечення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130 310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200 087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53,5 </w:t>
            </w:r>
          </w:p>
        </w:tc>
      </w:tr>
      <w:tr w:rsidR="004858FF" w:rsidRPr="00D66F0E" w:rsidTr="00317D9E">
        <w:trPr>
          <w:trHeight w:val="255"/>
        </w:trPr>
        <w:tc>
          <w:tcPr>
            <w:tcW w:w="57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Інші видатки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3 763 951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4 528 376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hideMark/>
          </w:tcPr>
          <w:p w:rsidR="004858FF" w:rsidRPr="00D66F0E" w:rsidRDefault="004858FF" w:rsidP="00485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66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20,3 </w:t>
            </w:r>
          </w:p>
        </w:tc>
      </w:tr>
    </w:tbl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Видатки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спеціального фонду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бюджету протягом січня-березня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профінансовано в сумі 660,6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або на 4,9% до уточненого річного плану,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 в розрізі джерел надходжень:</w:t>
      </w:r>
    </w:p>
    <w:p w:rsidR="004858FF" w:rsidRPr="00D66F0E" w:rsidRDefault="00390E3D" w:rsidP="0039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наданих платних послуг (оренда, плата за харчування в дитсадках, плата за навчання в школі мистецтв) – 147,0 </w:t>
      </w:r>
      <w:proofErr w:type="spellStart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390E3D" w:rsidP="0039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коштів благодійної допомоги, отриманої в натуральній формі (продукти харчування, медикаменти, </w:t>
      </w:r>
      <w:proofErr w:type="spellStart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госпінвентар</w:t>
      </w:r>
      <w:proofErr w:type="spellEnd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та обладнання по дитсадках і школах) – 55,0 </w:t>
      </w:r>
      <w:proofErr w:type="spellStart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390E3D" w:rsidP="0039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надходжень до бюджету розвитку – 101,8 </w:t>
      </w:r>
      <w:proofErr w:type="spellStart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390E3D" w:rsidP="0039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надходжень до фонду охорони довкілля – 356,8 </w:t>
      </w:r>
      <w:proofErr w:type="spellStart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="004858FF"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станом на 1 квітня 2018 року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залишки коштів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на рахунках міського бюджету становлять 29961,2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на рахунках міського бюджету – 29194,7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на рахунках бюджетних установ – 766,5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Залишки коштів на рахунках загального фонду міського бюджету становлять на кінець березня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17859,0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(на початок року – 16362,1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), на рахунках спеціального фонду – 11335,7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(на початок року – 131677,7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У І кварталі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було розміщено 125,0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млн.гривень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залишків коштів екологічного податку на депозит в банківських установах з метою покриття тимчасових касових розривів, що виникають при виконанні загального фонду міського бюджету.</w:t>
      </w:r>
    </w:p>
    <w:p w:rsidR="004858FF" w:rsidRPr="00D66F0E" w:rsidRDefault="004858FF" w:rsidP="005C499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Виконання бюджету в розрізі галузей бюджетної сфери.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На утримання установ і закладів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а також на реалізацію освітніх програм в бюджеті-2018 заплановано 73499,7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(для довідки: протягом 2017 року міська рада перерахувала на освітню сферу 59289,0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). За станом на 01.04.2018 із загального фонду витрачено на утримання освітніх закладів 15122,1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з яких 14769,2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(або 97,7%) – соціально захищені видатки, зокрема: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заробітна плата з нарахуваннями – 12197,2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енергоносії і комунальні послуги – 2242,0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медикаменти та продукти харчування – 328,2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соціальне забезпечення – 1,8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Видатки спеціального фонду протягом І кварталу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профінансовано в сумі 261,5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.: поточні видатки – 199,0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з яких продукти харчування – 169,2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видатки розвитку – 62,5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За рахунок капітальних видатків поповнено бібліотечні фонди ліцею-інтернату (1,9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), здійснено к</w:t>
      </w:r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апітальний ремонт по заміні вікон та встановлення </w:t>
      </w:r>
      <w:proofErr w:type="spellStart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топочної</w:t>
      </w:r>
      <w:proofErr w:type="spellEnd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загальноосвітній школі по вул.Кооперативна,55 (Фартушного,21) в </w:t>
      </w:r>
      <w:proofErr w:type="spellStart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>с.В.Костромка</w:t>
      </w:r>
      <w:proofErr w:type="spellEnd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(60,6 </w:t>
      </w:r>
      <w:proofErr w:type="spellStart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5218C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Контингент дітей, що відвідують шість дошкільних закладів освіти, становить 640 осіб (протягом 2017 року дитсадки відвідувало 612 дітей). Вартість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діто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-дня харчування, передбачена в бюджеті на 2018 рік (з урахуванням батьківської плати), становить 20 гривень в ясельних і 30 гривень в дошкільних групах, середнє його значення по всіх групах дітей – 28 гривень 09 копійок. (Для порівняння: середня вартість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діто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-дня харчування за весь 2017 рік становила 18 гривень 69 копійок.).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Контингент учнів, які відвідують сім закладів середньої освіти, становить 1811 осіб,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 дітей, які забезпечені безкоштовними гарячими сніданками (обідами) у шкільних їдальнях – 814 осіб. До останніх належать учні початкових класів загальноосвітніх шкіл (742 особи) та діти з числа сиріт, малозабезпечених та інших пільгових категорій (72 особи).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Послугами центру позашкільної роботи користуються 682 дитини,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коефіцієнт учнівської молоді, охоплений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позашкіллям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майже 38%.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На виплату одноразової допомоги по досягненню 18-річного віку дітям, позбавленим батьківського піклування, та дітям-сиротам перераховано з міського бюджету 1,8 тис. гривень (отримувач: 1 дитина, яка досягла повноліття).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На реалізацію заходів міської програми розвитку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первинної медико-санітарної допомоги 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населенню громади в бюджеті заплановано 9713,1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(факт січня-грудня 2017 року – 16049,0 тис. гривень). За станом на 01.04.2018 касові видатки загального фонду становлять 3170,4 тис. гривень, спеціального – 42,3 тис. гривень.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Протягом звітного періоду пільгові медикаменти отримало 194 громадянина на загальну суму 69,5 тис. гривень (по 358,37 гривень на одного пільговика). На одне лікарське відвідування у січні-березні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витрачено 13,26 гривень (у січні-грудні 2017 року – 9,47 гривень), на 1 стоматологічне відвідування – 1,74 гривень (торік – 2,05 гривень); на 1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ліжо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-день денного стаціонару – 2,84 гривень (торік – 2,99 гривень).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lastRenderedPageBreak/>
        <w:t>Число лікарських відвідувань становить на 01 квітня поточного року  18123 відвідування, а це - 36,7% до факту січня-грудня 2017 року (49381 відвідування), що свідчить про зростання кількості звернень громадян за наданням медичної допомоги.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За рахунок коштів спеціального фонду міського бюджету придбано 4 комп’ютера для сімейних лікарів на суму 39,3 тис. гривень.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Для реалізації міських програм в галузі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населення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 передбачила на 2018 рік 1825,0 тис. гривень, що в 1,8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раза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більше (+825,6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), ніж було витрачено із загального фонду міського бюджету протягом дванадцяти місяців 2017 року.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За станом на кінець березня 2018 року обсяг профінансованих видатків на соціальний захист становить 130,5 тис. гривень, зокрема: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фінансова підтримка 2-х ветеранських організацій – 37,5 тис. гривень;</w:t>
      </w:r>
    </w:p>
    <w:p w:rsidR="004858FF" w:rsidRPr="00D66F0E" w:rsidRDefault="004858FF" w:rsidP="004858FF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>матеріальна допомога соціально незахищеним верствам населення – 93,0 тис. гривень.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 січня по березень (включно) одноразову допомогу отримали 133 мешканці громади, при цьому середній розмір допомоги становив 699,25 гривень. (Для довідки: у 2017 році допомогу отримали 739 громадян на суму 803,5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або по 1087,28 гривень кожен).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культуру та фізкультуру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за перші три місяця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витрачено 1477,7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Протягом першого кварталу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 бібліотеки відвідав 3641 читач,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.: в місті – 1913 читачів, в селах – 1728 читачів; кількість книговидач – 28721,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.: в місті – 17142, в селах – 11579. Середнє число книговидач на 1 відвідувача бібліотеки – 8,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.: в місті - 9, в селах - 7. В клубних закладах упродовж січня-березня 2018 року діяло 29 клубних формувань, з яких у місті – 12, у селах – 17, в яких побувало 13394 відвідувачі, з яких у місті – 12050, в селах – 1344. Також впродовж року клубні заклади організували й провели 80 заходів, 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 в місті – 54, в селах – 26.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На утримання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галузей виробничої сфери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протягом першого кварталу 2018 року перераховано 921,2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, зокрема: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вуличне освітлення міста і сільських населених пунктів – 163,2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поховання трьох безрідних та невпізнаних трупів осіб – 8,8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технічне обслуговування та поточний ремонт системи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зовнiшнього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освітлення – 41,7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послуги зі стандартного приєднання до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електричих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мереж вуличного освітлення сіл Велика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Костромка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Мар’янське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– 7,0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послуги з прибирання громадських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вбиралень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– 3,0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послуги з обслуговування кладовища – 13,2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послуги з охорони майна - 111,6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сплата податків і зборів за об’єкти благоустрою – 0,2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послуги з обслуговування доріг взимку – 111,2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внески до асоціацій органів місцевого самоврядування – 11,0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утримання рятувального посту – 93,5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58FF" w:rsidRPr="00D66F0E" w:rsidRDefault="004858FF" w:rsidP="00390E3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заходи з озеленення населених пунктів – 356,8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У вигляді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перераховано бюджетам інших рівнів упродовж січня-березня 2018 року 4119,5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, що на 605,0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менше, ніж було перераховано у січні-березні 2017 року.</w:t>
      </w:r>
    </w:p>
    <w:p w:rsidR="004858FF" w:rsidRPr="00D66F0E" w:rsidRDefault="004858FF" w:rsidP="00485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До міського бюджету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Апостолівської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перераховано 4014,3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на утримання об’єктів спільного користування, що надають послуги населенню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міської ОТГ. До районного бюджету перераховано 85,2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субвенції на виплату грошової компенсації фізичним особам, що надають соціальні послуги. Обласному бюджету перераховано 20,0 </w:t>
      </w:r>
      <w:proofErr w:type="spellStart"/>
      <w:r w:rsidRPr="00D66F0E">
        <w:rPr>
          <w:rFonts w:ascii="Times New Roman" w:hAnsi="Times New Roman" w:cs="Times New Roman"/>
          <w:sz w:val="24"/>
          <w:szCs w:val="24"/>
          <w:lang w:val="uk-UA"/>
        </w:rPr>
        <w:t>тис.гривень</w:t>
      </w:r>
      <w:proofErr w:type="spellEnd"/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субвенції на створення обласного матеріального резерву для запобігання і ліквідації наслідків надзвичайних ситуацій техногенного і природного характеру.</w:t>
      </w:r>
    </w:p>
    <w:p w:rsidR="00D307CF" w:rsidRDefault="004858FF" w:rsidP="000A05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За станом на звітну дату відсутня будь-яка </w:t>
      </w:r>
      <w:r w:rsidRPr="00D66F0E">
        <w:rPr>
          <w:rFonts w:ascii="Times New Roman" w:hAnsi="Times New Roman" w:cs="Times New Roman"/>
          <w:b/>
          <w:sz w:val="24"/>
          <w:szCs w:val="24"/>
          <w:lang w:val="uk-UA"/>
        </w:rPr>
        <w:t>заборгованість</w:t>
      </w:r>
      <w:r w:rsidRPr="00D66F0E">
        <w:rPr>
          <w:rFonts w:ascii="Times New Roman" w:hAnsi="Times New Roman" w:cs="Times New Roman"/>
          <w:sz w:val="24"/>
          <w:szCs w:val="24"/>
          <w:lang w:val="uk-UA"/>
        </w:rPr>
        <w:t xml:space="preserve"> із соціальних виплат, фінансування яких здійснюється за рахунок коштів міського бюджету.</w:t>
      </w:r>
    </w:p>
    <w:p w:rsidR="00317D9E" w:rsidRPr="00D66F0E" w:rsidRDefault="00317D9E" w:rsidP="000A0536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</w:pPr>
    </w:p>
    <w:p w:rsidR="00D307CF" w:rsidRPr="00D66F0E" w:rsidRDefault="00D307CF" w:rsidP="00D307C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Про </w:t>
      </w:r>
      <w:r w:rsidRPr="00D66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розгляд звернення </w:t>
      </w: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D307CF" w:rsidRPr="00D66F0E" w:rsidRDefault="00D307CF" w:rsidP="00D307C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Розглянувши звернення Головного територіального управління юстиції у Дніпропетровській області, керуючись статтями 25, частиною 5 статі 60 Закону України «Про місцеве самоврядування в Україні», Законом України «Про оренду державного та комунального майна», рішення </w:t>
      </w:r>
      <w:proofErr w:type="spellStart"/>
      <w:r w:rsidRPr="00D66F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№ 299-1.1 «Про порядок передачі в оренду комунального майна територіальної громади м. Зеленодольська», Зеленодольська міська рада</w:t>
      </w:r>
    </w:p>
    <w:p w:rsidR="000B41D1" w:rsidRPr="00D66F0E" w:rsidRDefault="00D307CF" w:rsidP="000B41D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D307CF" w:rsidRPr="00D66F0E" w:rsidRDefault="00D307CF" w:rsidP="000B41D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дозвіл на передачу в оренду нежитлового приміщення площею 30 квадратних метрів, у вигляді квартири, що знаходиться за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Зеленодольськ проспект Незалежності,7, на термін до 31.12.2018 року.</w:t>
      </w:r>
    </w:p>
    <w:p w:rsidR="00D307CF" w:rsidRPr="00D66F0E" w:rsidRDefault="00D307CF" w:rsidP="00D307CF">
      <w:pPr>
        <w:widowControl w:val="0"/>
        <w:numPr>
          <w:ilvl w:val="0"/>
          <w:numId w:val="11"/>
        </w:numPr>
        <w:tabs>
          <w:tab w:val="num" w:pos="142"/>
          <w:tab w:val="left" w:pos="960"/>
          <w:tab w:val="num" w:pos="10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Виконавчому комітету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Pr="00D66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виступити орендодавцем та укласти договір оренди приміщень, визначених пунктом 1 цього рішення.</w:t>
      </w:r>
    </w:p>
    <w:p w:rsidR="000B41D1" w:rsidRPr="00317D9E" w:rsidRDefault="00D307CF" w:rsidP="000B41D1">
      <w:pPr>
        <w:widowControl w:val="0"/>
        <w:numPr>
          <w:ilvl w:val="0"/>
          <w:numId w:val="11"/>
        </w:numPr>
        <w:tabs>
          <w:tab w:val="num" w:pos="142"/>
          <w:tab w:val="left" w:pos="960"/>
          <w:tab w:val="num" w:pos="10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</w:t>
      </w:r>
      <w:r w:rsidRPr="00D66F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питань розвитку інфраструктури, комунальної власності, будівництва, житлово-комунального господарства та благоустрою території </w:t>
      </w:r>
      <w:proofErr w:type="spellStart"/>
      <w:r w:rsidRPr="00D66F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ради.</w:t>
      </w:r>
    </w:p>
    <w:p w:rsidR="00317D9E" w:rsidRPr="00D66F0E" w:rsidRDefault="00317D9E" w:rsidP="00317D9E">
      <w:pPr>
        <w:widowControl w:val="0"/>
        <w:tabs>
          <w:tab w:val="left" w:pos="960"/>
          <w:tab w:val="num" w:pos="1020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  <w:t xml:space="preserve">Про затвердження пріоритетної послуги </w:t>
      </w:r>
    </w:p>
    <w:p w:rsidR="000B41D1" w:rsidRPr="00D66F0E" w:rsidRDefault="000B41D1" w:rsidP="000B41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D66F0E"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  <w:t xml:space="preserve"> «Водопостачання в </w:t>
      </w:r>
      <w:proofErr w:type="spellStart"/>
      <w:r w:rsidRPr="00D66F0E"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  <w:t>Зеленодольській</w:t>
      </w:r>
      <w:proofErr w:type="spellEnd"/>
      <w:r w:rsidRPr="00D66F0E"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  <w:t xml:space="preserve"> міській об'єднаній територіальній громаді »</w:t>
      </w:r>
    </w:p>
    <w:p w:rsidR="000B41D1" w:rsidRPr="00D66F0E" w:rsidRDefault="000B41D1" w:rsidP="000B41D1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  <w:t xml:space="preserve">З метою координації діяльності органів місцевого самоврядування, суб’єктів господарювання, організацій громадянського суспільства та громадськості, спрямованої на покращення якості та розширення асортименту послуг, що надаються в об’єднаній територіальній громаді,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ar-SA"/>
        </w:rPr>
        <w:t xml:space="preserve">у відповідності до 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>Протоколу</w:t>
      </w:r>
      <w:r w:rsidRPr="00D66F0E">
        <w:rPr>
          <w:rFonts w:ascii="Times New Roman" w:eastAsiaTheme="minorHAnsi" w:hAnsi="Times New Roman" w:cs="Times New Roman"/>
          <w:sz w:val="24"/>
          <w:szCs w:val="24"/>
          <w:shd w:val="clear" w:color="auto" w:fill="F7F8F9"/>
          <w:lang w:val="uk-UA"/>
        </w:rPr>
        <w:t xml:space="preserve"> 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 xml:space="preserve">від 17 квітня 2018року </w:t>
      </w:r>
      <w:r w:rsidRPr="00D66F0E">
        <w:rPr>
          <w:rFonts w:ascii="Times New Roman" w:eastAsiaTheme="minorHAnsi" w:hAnsi="Times New Roman" w:cs="Times New Roman"/>
          <w:sz w:val="24"/>
          <w:szCs w:val="24"/>
          <w:shd w:val="clear" w:color="auto" w:fill="F7F8F9"/>
          <w:lang w:val="uk-UA"/>
        </w:rPr>
        <w:t xml:space="preserve"> 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>засідання комітету з обрання пріоритетної послуги для подальшої розробки та впровадження Плану з її удосконалення</w:t>
      </w:r>
      <w:r w:rsidRPr="00D66F0E">
        <w:rPr>
          <w:rFonts w:ascii="Times New Roman" w:eastAsiaTheme="minorHAnsi" w:hAnsi="Times New Roman" w:cs="Times New Roman"/>
          <w:sz w:val="24"/>
          <w:szCs w:val="24"/>
          <w:shd w:val="clear" w:color="auto" w:fill="F7F8F9"/>
          <w:lang w:val="uk-UA"/>
        </w:rPr>
        <w:t xml:space="preserve"> 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>в рамках програми «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</w:rPr>
        <w:t>DOBRE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 xml:space="preserve">», </w:t>
      </w:r>
      <w:r w:rsidRPr="00D66F0E">
        <w:rPr>
          <w:rFonts w:ascii="MS Shell Dlg 2" w:eastAsiaTheme="minorHAnsi" w:hAnsi="MS Shell Dlg 2" w:cs="MS Shell Dlg 2"/>
          <w:color w:val="000000"/>
          <w:sz w:val="24"/>
          <w:szCs w:val="24"/>
          <w:shd w:val="clear" w:color="auto" w:fill="F7F8F9"/>
          <w:lang w:val="uk-UA"/>
        </w:rPr>
        <w:t xml:space="preserve"> </w:t>
      </w:r>
      <w:r w:rsidRPr="00D66F0E">
        <w:rPr>
          <w:rFonts w:ascii="MS Shell Dlg 2" w:eastAsiaTheme="minorHAnsi" w:hAnsi="MS Shell Dlg 2" w:cs="MS Shell Dlg 2"/>
          <w:color w:val="000000"/>
          <w:sz w:val="24"/>
          <w:szCs w:val="24"/>
          <w:shd w:val="clear" w:color="auto" w:fill="F7F8F9"/>
        </w:rPr>
        <w:t> </w:t>
      </w:r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 xml:space="preserve">що виконується міжнародною організацією </w:t>
      </w:r>
      <w:proofErr w:type="spellStart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>Глобал</w:t>
      </w:r>
      <w:proofErr w:type="spellEnd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>Ком`юнітіз</w:t>
      </w:r>
      <w:proofErr w:type="spellEnd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 xml:space="preserve"> (</w:t>
      </w:r>
      <w:proofErr w:type="spellStart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</w:rPr>
        <w:t>Global</w:t>
      </w:r>
      <w:proofErr w:type="spellEnd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</w:rPr>
        <w:t>Communities</w:t>
      </w:r>
      <w:proofErr w:type="spellEnd"/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>) та фінансується Агентством США з міжнародного розвитку (</w:t>
      </w:r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</w:rPr>
        <w:t>USAID</w:t>
      </w:r>
      <w:r w:rsidRPr="00D66F0E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7F8F9"/>
          <w:lang w:val="uk-UA"/>
        </w:rPr>
        <w:t xml:space="preserve">), </w:t>
      </w:r>
      <w:r w:rsidRPr="00D66F0E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7F8F9"/>
          <w:lang w:val="uk-UA"/>
        </w:rPr>
        <w:t xml:space="preserve">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  <w:t xml:space="preserve">керуючись Законом України «Про місцеве самоврядування в Україні», Зеленодольська міська рада </w:t>
      </w:r>
      <w:r w:rsidRPr="00D66F0E">
        <w:rPr>
          <w:rFonts w:ascii="Times New Roman" w:eastAsiaTheme="minorHAnsi" w:hAnsi="Times New Roman" w:cs="Times New Roman"/>
          <w:b/>
          <w:sz w:val="24"/>
          <w:szCs w:val="24"/>
          <w:lang w:val="uk-UA" w:eastAsia="ru-RU"/>
        </w:rPr>
        <w:t>вирішила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  <w:t xml:space="preserve">: 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ru-RU"/>
        </w:rPr>
        <w:t xml:space="preserve">1.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ar-SA"/>
        </w:rPr>
        <w:t xml:space="preserve">Затвердити пріоритетною послугу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«Водопостачання в </w:t>
      </w: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Зеленодольській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міській об'єднаній територіальній громаді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ar-SA"/>
        </w:rPr>
        <w:t xml:space="preserve">» .  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2. Затвердити склад комісії ради з питань покращення послуги у складі:</w:t>
      </w:r>
    </w:p>
    <w:p w:rsidR="000B41D1" w:rsidRPr="00D66F0E" w:rsidRDefault="000B41D1" w:rsidP="000B41D1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Савченко Андрій Володимирович – міський голова ;</w:t>
      </w:r>
    </w:p>
    <w:p w:rsidR="000B41D1" w:rsidRPr="00D66F0E" w:rsidRDefault="000B41D1" w:rsidP="000B41D1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Фартушний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Микола Миколайович – староста с. </w:t>
      </w: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В.Костромка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;</w:t>
      </w:r>
    </w:p>
    <w:p w:rsidR="000B41D1" w:rsidRPr="00D66F0E" w:rsidRDefault="000B41D1" w:rsidP="000B41D1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Устименко Володимир Дмитрович – староста с. Мар</w:t>
      </w:r>
      <w:r w:rsidRPr="00D66F0E">
        <w:rPr>
          <w:rFonts w:ascii="Times New Roman" w:eastAsiaTheme="minorHAnsi" w:hAnsi="Times New Roman" w:cs="Times New Roman"/>
          <w:sz w:val="24"/>
          <w:szCs w:val="24"/>
        </w:rPr>
        <w:t>’</w:t>
      </w: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янське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;</w:t>
      </w:r>
    </w:p>
    <w:p w:rsidR="000B41D1" w:rsidRPr="00D66F0E" w:rsidRDefault="000B41D1" w:rsidP="000B41D1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Накрапас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Наталія Петрівна – директор комунального закладу </w:t>
      </w:r>
    </w:p>
    <w:p w:rsidR="000B41D1" w:rsidRPr="00D66F0E" w:rsidRDefault="000B41D1" w:rsidP="000B41D1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" </w:t>
      </w: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Зеленодольський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міській водоканал" ;</w:t>
      </w:r>
    </w:p>
    <w:p w:rsidR="000B41D1" w:rsidRPr="00D66F0E" w:rsidRDefault="000B41D1" w:rsidP="000B41D1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Палій Лідія Павлівна – депутат </w:t>
      </w:r>
      <w:proofErr w:type="spellStart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міської ради ;</w:t>
      </w:r>
    </w:p>
    <w:p w:rsidR="000B41D1" w:rsidRPr="00D66F0E" w:rsidRDefault="000B41D1" w:rsidP="000B41D1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Харчук Віталій Митрофанович – начальник відділу </w:t>
      </w:r>
      <w:r w:rsidRPr="00D66F0E">
        <w:rPr>
          <w:rFonts w:ascii="Times New Roman" w:eastAsiaTheme="minorHAnsi" w:hAnsi="Times New Roman"/>
          <w:sz w:val="24"/>
          <w:szCs w:val="24"/>
          <w:lang w:val="uk-UA" w:eastAsia="ru-RU"/>
        </w:rPr>
        <w:t>житлово-комунального господарства, комунальної власності, інфраструктури;</w:t>
      </w:r>
    </w:p>
    <w:p w:rsidR="000B41D1" w:rsidRPr="00D66F0E" w:rsidRDefault="000B41D1" w:rsidP="000B41D1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D66F0E">
        <w:rPr>
          <w:rFonts w:ascii="Times New Roman" w:eastAsiaTheme="minorHAnsi" w:hAnsi="Times New Roman"/>
          <w:sz w:val="24"/>
          <w:szCs w:val="24"/>
          <w:lang w:val="uk-UA" w:eastAsia="ru-RU"/>
        </w:rPr>
        <w:t>Коваленко Анатолій Дмитрович , член виконавчого комітету ЗМР</w:t>
      </w:r>
    </w:p>
    <w:p w:rsidR="000B41D1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3. </w:t>
      </w:r>
      <w:r w:rsidRPr="00D66F0E">
        <w:rPr>
          <w:rFonts w:ascii="Times New Roman" w:eastAsiaTheme="minorHAnsi" w:hAnsi="Times New Roman" w:cs="Times New Roman"/>
          <w:sz w:val="24"/>
          <w:szCs w:val="24"/>
          <w:lang w:val="uk-UA" w:eastAsia="ar-SA"/>
        </w:rPr>
        <w:t>Контроль за виконанням даного рішення покласти на постійну комісію з питань</w:t>
      </w:r>
      <w:r w:rsidRPr="00D66F0E">
        <w:rPr>
          <w:rFonts w:asciiTheme="minorHAnsi" w:eastAsiaTheme="minorHAnsi" w:hAnsiTheme="minorHAnsi"/>
          <w:color w:val="000000" w:themeColor="text1"/>
          <w:sz w:val="24"/>
          <w:szCs w:val="24"/>
          <w:lang w:val="uk-UA"/>
        </w:rPr>
        <w:t xml:space="preserve">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розвитку інфраструктури, комунальної власності, будівництва, житлово-комунального господарства та благоустрою території.</w:t>
      </w:r>
    </w:p>
    <w:p w:rsidR="00317D9E" w:rsidRPr="00D66F0E" w:rsidRDefault="00317D9E" w:rsidP="000B41D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 xml:space="preserve">Про </w:t>
      </w:r>
      <w:proofErr w:type="spellStart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>затвердження</w:t>
      </w:r>
      <w:proofErr w:type="spellEnd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>Стратегії</w:t>
      </w:r>
      <w:proofErr w:type="spellEnd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  <w:lang w:val="uk-UA"/>
        </w:rPr>
        <w:t xml:space="preserve">сталого </w:t>
      </w:r>
      <w:proofErr w:type="spellStart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>розвитку</w:t>
      </w:r>
      <w:proofErr w:type="spellEnd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  <w:lang w:val="uk-UA"/>
        </w:rPr>
        <w:t xml:space="preserve"> міської об'єднаної територіальної </w:t>
      </w:r>
      <w:proofErr w:type="gramStart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  <w:lang w:val="uk-UA"/>
        </w:rPr>
        <w:t>громади на</w:t>
      </w:r>
      <w:proofErr w:type="gramEnd"/>
      <w:r w:rsidRPr="00D66F0E">
        <w:rPr>
          <w:rFonts w:ascii="Times New Roman" w:eastAsiaTheme="minorHAnsi" w:hAnsi="Times New Roman" w:cs="Times New Roman"/>
          <w:b/>
          <w:bCs/>
          <w:i/>
          <w:color w:val="000000" w:themeColor="text1"/>
          <w:sz w:val="24"/>
          <w:szCs w:val="24"/>
          <w:lang w:val="uk-UA"/>
        </w:rPr>
        <w:t xml:space="preserve"> 2018 – 2028 роки</w:t>
      </w:r>
      <w:r w:rsidRPr="00D66F0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0B41D1" w:rsidRPr="00D66F0E" w:rsidRDefault="000B41D1" w:rsidP="00F84634">
      <w:pPr>
        <w:spacing w:after="0" w:line="240" w:lineRule="auto"/>
        <w:ind w:firstLine="708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З метою створення передумов для подальшого соціально-економічного розвитку, визначення основних пріоритетів та стратегічного бачення майбутнього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об'єднаної територіальної громади , керуючись Законом України "Про місцеве самоврядування в Україні", Зеленодольська  міська рада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66F0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ВИРІШИЛА: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Затвердити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Стратегію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сталого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об'єднаної територіальної </w:t>
      </w:r>
      <w:proofErr w:type="gram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громади  на</w:t>
      </w:r>
      <w:proofErr w:type="gram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2018 - 2028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рок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</w:t>
      </w:r>
      <w:hyperlink r:id="rId14" w:history="1">
        <w:r w:rsidRPr="00D66F0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u w:val="single"/>
          </w:rPr>
          <w:t>(</w:t>
        </w:r>
        <w:proofErr w:type="spellStart"/>
        <w:r w:rsidRPr="00D66F0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u w:val="single"/>
          </w:rPr>
          <w:t>додаток</w:t>
        </w:r>
        <w:proofErr w:type="spellEnd"/>
        <w:r w:rsidRPr="00D66F0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u w:val="single"/>
          </w:rPr>
          <w:t>).</w:t>
        </w:r>
      </w:hyperlink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 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2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Виконавчим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органам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напрямками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при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розробленні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внесенні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змін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цільових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програм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щорічних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ланів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соц</w:t>
      </w:r>
      <w:proofErr w:type="gram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іально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-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економічного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та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культурного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об'єднаної територіальної громади 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керуватися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основними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положеннями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Стратегії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сталого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об'єднаної територіальної громади  на 2018 - 2028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рок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  та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забезпечити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моніторинг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їх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виконання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 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Фінасово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–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економі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чному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відділу виконавчого комітету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щорічно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пленарних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засіданнях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інформувати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хід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виконання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Стратегії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сталого розвитку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об'єднаної територіальної громади  на 2018 - 2028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рок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</w:t>
      </w:r>
    </w:p>
    <w:p w:rsidR="000B41D1" w:rsidRPr="00D66F0E" w:rsidRDefault="000B41D1" w:rsidP="000B41D1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Відповідальність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виконання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ішення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на 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головного спеціаліста з економічних питань виконавчого комітету 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Зеленодольської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</w:t>
      </w:r>
      <w:proofErr w:type="spellStart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Постну</w:t>
      </w:r>
      <w:proofErr w:type="spellEnd"/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Т.Г.</w:t>
      </w: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 </w:t>
      </w:r>
    </w:p>
    <w:p w:rsidR="00F84634" w:rsidRDefault="000B41D1" w:rsidP="00F84634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  <w:r w:rsidRPr="00D66F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6. Контроль за виконанням рішення покласти на комісію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317D9E" w:rsidRPr="00D66F0E" w:rsidRDefault="00317D9E" w:rsidP="00F8463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/>
        </w:rPr>
      </w:pPr>
    </w:p>
    <w:p w:rsidR="00A7445F" w:rsidRPr="00D66F0E" w:rsidRDefault="00A7445F" w:rsidP="002B7C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 погодження надання матеріальної допомоги</w:t>
      </w:r>
    </w:p>
    <w:p w:rsidR="00A7445F" w:rsidRPr="00D66F0E" w:rsidRDefault="006B74F0" w:rsidP="002B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A7445F"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заяву завідувача міської бібліотеки для дорослих м. Зеленодольська Романюк С.І.  про надання матеріальної допомоги для вирішення соціально – побутових питань, керуючись ст..25 Закону України «Про місцеве  самоврядування в Україні»,  Постановою Кабінету Міністрів України від 09.12.15 р. № 1026, Зеленодольська міська рада </w:t>
      </w:r>
      <w:r w:rsidR="000A0536"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445F"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445F" w:rsidRPr="00D66F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A7445F" w:rsidRPr="00D66F0E" w:rsidRDefault="00A7445F" w:rsidP="002B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1. Погодити надання матеріальної допомоги для вирішення соціально– побутових питань  завідувачу міської бібліотеки для дорослих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м.Зеленодольська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Романюк Світлані Іванівні у розмірі посадового окладу.</w:t>
      </w:r>
    </w:p>
    <w:p w:rsidR="006B74F0" w:rsidRDefault="00A7445F" w:rsidP="002B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317D9E" w:rsidRPr="00D66F0E" w:rsidRDefault="00317D9E" w:rsidP="002B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74F0" w:rsidRPr="00D66F0E" w:rsidRDefault="006B74F0" w:rsidP="002B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преміювання </w:t>
      </w:r>
    </w:p>
    <w:p w:rsidR="006B74F0" w:rsidRPr="00D66F0E" w:rsidRDefault="006B74F0" w:rsidP="002B7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 (із змінами), Зеленодольська міська рада вирішила:</w:t>
      </w:r>
    </w:p>
    <w:p w:rsidR="006B74F0" w:rsidRPr="00D66F0E" w:rsidRDefault="006B74F0" w:rsidP="002B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1. Преміювати  міського голову Савченка А.В. за квітень 2018 р. в розмірі, визначеному в пп.3.2  п.3 Положення про преміювання працівників виконавчого комітету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 (із змінами).</w:t>
      </w:r>
    </w:p>
    <w:p w:rsidR="002A4A7A" w:rsidRPr="00D66F0E" w:rsidRDefault="006B74F0" w:rsidP="002B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F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sectPr w:rsidR="002A4A7A" w:rsidRPr="00D66F0E" w:rsidSect="00BF50DE">
      <w:pgSz w:w="11906" w:h="16838"/>
      <w:pgMar w:top="142" w:right="282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738"/>
    <w:multiLevelType w:val="hybridMultilevel"/>
    <w:tmpl w:val="52D2A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E6C25"/>
    <w:multiLevelType w:val="hybridMultilevel"/>
    <w:tmpl w:val="73F26934"/>
    <w:lvl w:ilvl="0" w:tplc="72BC2F4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963702"/>
    <w:multiLevelType w:val="hybridMultilevel"/>
    <w:tmpl w:val="D514E962"/>
    <w:lvl w:ilvl="0" w:tplc="1BD655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F3277"/>
    <w:multiLevelType w:val="hybridMultilevel"/>
    <w:tmpl w:val="51F48922"/>
    <w:lvl w:ilvl="0" w:tplc="FFC85B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A36FE"/>
    <w:multiLevelType w:val="hybridMultilevel"/>
    <w:tmpl w:val="DD4E7502"/>
    <w:lvl w:ilvl="0" w:tplc="673AA988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21D2C"/>
    <w:multiLevelType w:val="hybridMultilevel"/>
    <w:tmpl w:val="9C48ED5A"/>
    <w:lvl w:ilvl="0" w:tplc="577A5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45913"/>
    <w:multiLevelType w:val="hybridMultilevel"/>
    <w:tmpl w:val="BC8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B3761"/>
    <w:multiLevelType w:val="hybridMultilevel"/>
    <w:tmpl w:val="FFF62C48"/>
    <w:lvl w:ilvl="0" w:tplc="0419000F">
      <w:start w:val="1"/>
      <w:numFmt w:val="decimal"/>
      <w:lvlText w:val="%1."/>
      <w:lvlJc w:val="left"/>
      <w:pPr>
        <w:ind w:left="355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>
      <w:start w:val="1"/>
      <w:numFmt w:val="lowerRoman"/>
      <w:lvlText w:val="%3."/>
      <w:lvlJc w:val="right"/>
      <w:pPr>
        <w:ind w:left="4992" w:hanging="180"/>
      </w:pPr>
    </w:lvl>
    <w:lvl w:ilvl="3" w:tplc="0419000F">
      <w:start w:val="1"/>
      <w:numFmt w:val="decimal"/>
      <w:lvlText w:val="%4."/>
      <w:lvlJc w:val="left"/>
      <w:pPr>
        <w:ind w:left="5712" w:hanging="360"/>
      </w:pPr>
    </w:lvl>
    <w:lvl w:ilvl="4" w:tplc="04190019">
      <w:start w:val="1"/>
      <w:numFmt w:val="lowerLetter"/>
      <w:lvlText w:val="%5."/>
      <w:lvlJc w:val="left"/>
      <w:pPr>
        <w:ind w:left="6432" w:hanging="360"/>
      </w:pPr>
    </w:lvl>
    <w:lvl w:ilvl="5" w:tplc="0419001B">
      <w:start w:val="1"/>
      <w:numFmt w:val="lowerRoman"/>
      <w:lvlText w:val="%6."/>
      <w:lvlJc w:val="right"/>
      <w:pPr>
        <w:ind w:left="7152" w:hanging="180"/>
      </w:pPr>
    </w:lvl>
    <w:lvl w:ilvl="6" w:tplc="0419000F">
      <w:start w:val="1"/>
      <w:numFmt w:val="decimal"/>
      <w:lvlText w:val="%7."/>
      <w:lvlJc w:val="left"/>
      <w:pPr>
        <w:ind w:left="7872" w:hanging="360"/>
      </w:pPr>
    </w:lvl>
    <w:lvl w:ilvl="7" w:tplc="04190019">
      <w:start w:val="1"/>
      <w:numFmt w:val="lowerLetter"/>
      <w:lvlText w:val="%8."/>
      <w:lvlJc w:val="left"/>
      <w:pPr>
        <w:ind w:left="8592" w:hanging="360"/>
      </w:pPr>
    </w:lvl>
    <w:lvl w:ilvl="8" w:tplc="0419001B">
      <w:start w:val="1"/>
      <w:numFmt w:val="lowerRoman"/>
      <w:lvlText w:val="%9."/>
      <w:lvlJc w:val="right"/>
      <w:pPr>
        <w:ind w:left="9312" w:hanging="180"/>
      </w:pPr>
    </w:lvl>
  </w:abstractNum>
  <w:abstractNum w:abstractNumId="8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0C91B7"/>
    <w:multiLevelType w:val="singleLevel"/>
    <w:tmpl w:val="580C91B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1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440"/>
      </w:pPr>
      <w:rPr>
        <w:rFonts w:hint="default"/>
      </w:rPr>
    </w:lvl>
  </w:abstractNum>
  <w:abstractNum w:abstractNumId="12">
    <w:nsid w:val="65D02214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11D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F0902DD"/>
    <w:multiLevelType w:val="hybridMultilevel"/>
    <w:tmpl w:val="A53442E0"/>
    <w:lvl w:ilvl="0" w:tplc="21A4136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14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CF"/>
    <w:rsid w:val="00050260"/>
    <w:rsid w:val="0007231E"/>
    <w:rsid w:val="000A0536"/>
    <w:rsid w:val="000A1A23"/>
    <w:rsid w:val="000B41D1"/>
    <w:rsid w:val="000C359F"/>
    <w:rsid w:val="001D370B"/>
    <w:rsid w:val="002A4A7A"/>
    <w:rsid w:val="002B7C21"/>
    <w:rsid w:val="00307D4F"/>
    <w:rsid w:val="00310061"/>
    <w:rsid w:val="00317D9E"/>
    <w:rsid w:val="0035218C"/>
    <w:rsid w:val="003873B4"/>
    <w:rsid w:val="00390E3D"/>
    <w:rsid w:val="004858FF"/>
    <w:rsid w:val="004E7899"/>
    <w:rsid w:val="004F2D0A"/>
    <w:rsid w:val="005C4997"/>
    <w:rsid w:val="005E6F47"/>
    <w:rsid w:val="005F7A26"/>
    <w:rsid w:val="00615C68"/>
    <w:rsid w:val="0065398B"/>
    <w:rsid w:val="00663BAA"/>
    <w:rsid w:val="00676FF6"/>
    <w:rsid w:val="006A19CF"/>
    <w:rsid w:val="006B74F0"/>
    <w:rsid w:val="007015DD"/>
    <w:rsid w:val="00801361"/>
    <w:rsid w:val="00837F73"/>
    <w:rsid w:val="00876B19"/>
    <w:rsid w:val="008C5489"/>
    <w:rsid w:val="0090346A"/>
    <w:rsid w:val="00905494"/>
    <w:rsid w:val="00A41447"/>
    <w:rsid w:val="00A7445F"/>
    <w:rsid w:val="00AA3131"/>
    <w:rsid w:val="00B56DB7"/>
    <w:rsid w:val="00B827B2"/>
    <w:rsid w:val="00BA5DFF"/>
    <w:rsid w:val="00BF50DE"/>
    <w:rsid w:val="00C3593C"/>
    <w:rsid w:val="00D307CF"/>
    <w:rsid w:val="00D4222C"/>
    <w:rsid w:val="00D66F0E"/>
    <w:rsid w:val="00D75671"/>
    <w:rsid w:val="00DC3148"/>
    <w:rsid w:val="00E96C6A"/>
    <w:rsid w:val="00F60100"/>
    <w:rsid w:val="00F80772"/>
    <w:rsid w:val="00F833A3"/>
    <w:rsid w:val="00F84634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C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8F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C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8F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open?id=0B42tr_1PKLtbeHpIRXFWTWZxU3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4;&#1080;&#1090;%20&#1030;%20&#1082;&#1074;&#1072;&#1088;&#1090;&#1072;&#1083;%202018%20&#1088;&#1086;&#1082;&#1091;\&#1072;&#1085;&#1072;&#1083;&#1110;&#1079;&#1080;%20&#1030;%20&#1082;&#1074;%202018%20&#1088;\&#1072;&#1085;&#1072;&#1083;&#1080;&#1079;%20&#1076;&#1086;&#1093;&#1086;&#1076;&#1080;%20&#1047;&#1060;%20&#1030;%20&#1082;&#1074;%202018%20&#108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4;&#1080;&#1090;%20&#1030;%20&#1082;&#1074;&#1072;&#1088;&#1090;&#1072;&#1083;%202018%20&#1088;&#1086;&#1082;&#1091;\&#1072;&#1085;&#1072;&#1083;&#1110;&#1079;&#1080;%20&#1030;%20&#1082;&#1074;%202018%20&#1088;\&#1072;&#1085;&#1072;&#1083;&#1080;&#1079;%20&#1076;&#1086;&#1093;&#1086;&#1076;&#1080;%20&#1047;&#1060;%20&#1030;%20&#1082;&#1074;%202018%20&#108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4;&#1080;&#1090;%20&#1030;%20&#1082;&#1074;&#1072;&#1088;&#1090;&#1072;&#1083;%202018%20&#1088;&#1086;&#1082;&#1091;\&#1072;&#1085;&#1072;&#1083;&#1110;&#1079;&#1080;%20&#1030;%20&#1082;&#1074;%202018%20&#1088;\&#1072;&#1085;&#1072;&#1083;&#1080;&#1079;%20&#1076;&#1086;&#1093;&#1086;&#1076;&#1080;%20&#1047;&#1060;%20&#1030;%20&#1082;&#1074;%202018%20&#108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4;&#1080;&#1090;%20&#1030;%20&#1082;&#1074;&#1072;&#1088;&#1090;&#1072;&#1083;%202018%20&#1088;&#1086;&#1082;&#1091;\&#1072;&#1085;&#1072;&#1083;&#1110;&#1079;&#1080;%20&#1030;%20&#1082;&#1074;%202018%20&#1088;\&#1072;&#1085;&#1072;&#1083;&#1080;&#1079;%20&#1074;&#1080;&#1076;&#1072;&#1090;&#1082;&#1080;%20&#1047;&#1060;%20&#1030;%20&#1082;&#1074;%202018%20&#108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tx>
        <c:rich>
          <a:bodyPr/>
          <a:lstStyle/>
          <a:p>
            <a:pPr>
              <a:defRPr sz="900"/>
            </a:pPr>
            <a:r>
              <a:rPr lang="uk-UA" sz="900"/>
              <a:t>                                                                                Діаграма</a:t>
            </a:r>
            <a:r>
              <a:rPr lang="uk-UA" sz="900" baseline="0"/>
              <a:t> 1 - доходи.</a:t>
            </a:r>
          </a:p>
          <a:p>
            <a:pPr>
              <a:defRPr sz="900"/>
            </a:pPr>
            <a:r>
              <a:rPr lang="uk-UA" sz="900" b="1" baseline="0"/>
              <a:t>Структура фактичних надходжень до загального фонду міського бюджету                                </a:t>
            </a:r>
          </a:p>
          <a:p>
            <a:pPr>
              <a:defRPr sz="900"/>
            </a:pPr>
            <a:r>
              <a:rPr lang="uk-UA" sz="900" b="1" baseline="0"/>
              <a:t>у січні-березні 2018 року</a:t>
            </a:r>
            <a:endParaRPr lang="uk-UA" sz="900" b="1"/>
          </a:p>
        </c:rich>
      </c:tx>
      <c:layout>
        <c:manualLayout>
          <c:xMode val="edge"/>
          <c:yMode val="edge"/>
          <c:x val="0.12850699912510941"/>
          <c:y val="3.7006805099800012E-2"/>
        </c:manualLayout>
      </c:layout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</c:spPr>
          <c:explosion val="5"/>
          <c:dLbls>
            <c:dLbl>
              <c:idx val="0"/>
              <c:layout>
                <c:manualLayout>
                  <c:x val="6.7979919201092698E-2"/>
                  <c:y val="-0.20984279028396538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Власні доходи
14 797 037  грн.
49,8%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1"/>
              <c:layout>
                <c:manualLayout>
                  <c:x val="-5.0024892488646507E-2"/>
                  <c:y val="-0.2579399812270599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Трансферти з інших бюджетів
14 907 013 грн. 
50,2%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numFmt formatCode="0.0%" sourceLinked="0"/>
            <c:spPr>
              <a:gradFill>
                <a:gsLst>
                  <a:gs pos="0">
                    <a:srgbClr val="FBEAC7"/>
                  </a:gs>
                  <a:gs pos="17999">
                    <a:srgbClr val="FEE7F2"/>
                  </a:gs>
                  <a:gs pos="36000">
                    <a:srgbClr val="FAC77D"/>
                  </a:gs>
                  <a:gs pos="61000">
                    <a:srgbClr val="FBA97D"/>
                  </a:gs>
                  <a:gs pos="82001">
                    <a:srgbClr val="FBD49C"/>
                  </a:gs>
                  <a:gs pos="100000">
                    <a:srgbClr val="FEE7F2"/>
                  </a:gs>
                </a:gsLst>
                <a:lin ang="5400000" scaled="0"/>
              </a:gradFill>
            </c:spPr>
            <c:showLegendKey val="1"/>
            <c:showVal val="1"/>
            <c:showCatName val="1"/>
            <c:showSerName val="1"/>
            <c:showPercent val="1"/>
            <c:showBubbleSize val="1"/>
            <c:separator>
</c:separator>
            <c:showLeaderLines val="1"/>
          </c:dLbls>
          <c:cat>
            <c:strRef>
              <c:f>'аналіз по КБКД'!$C$108:$C$109</c:f>
              <c:strCache>
                <c:ptCount val="2"/>
                <c:pt idx="0">
                  <c:v>Власні доходи</c:v>
                </c:pt>
                <c:pt idx="1">
                  <c:v>Трансферти з інших бюджетів</c:v>
                </c:pt>
              </c:strCache>
            </c:strRef>
          </c:cat>
          <c:val>
            <c:numRef>
              <c:f>'аналіз по КБКД'!$D$108:$D$109</c:f>
              <c:numCache>
                <c:formatCode>#,##0_ ;[Red]\-#,##0\ </c:formatCode>
                <c:ptCount val="2"/>
                <c:pt idx="0">
                  <c:v>14797036.960000003</c:v>
                </c:pt>
                <c:pt idx="1">
                  <c:v>14907013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tx>
        <c:rich>
          <a:bodyPr/>
          <a:lstStyle/>
          <a:p>
            <a:pPr>
              <a:defRPr/>
            </a:pPr>
            <a:r>
              <a:rPr lang="uk-UA" sz="1000"/>
              <a:t>Діаграма 4 - доходи.</a:t>
            </a:r>
          </a:p>
          <a:p>
            <a:pPr>
              <a:defRPr/>
            </a:pPr>
            <a:r>
              <a:rPr lang="uk-UA" sz="1000"/>
              <a:t>Темпи приросту власних доходів у</a:t>
            </a:r>
            <a:r>
              <a:rPr lang="uk-UA" sz="1000" baseline="0"/>
              <a:t> І кварталі 2018 року до аналогічного періоду 2017 року, %</a:t>
            </a:r>
            <a:endParaRPr lang="uk-UA" sz="1000"/>
          </a:p>
        </c:rich>
      </c:tx>
      <c:layout>
        <c:manualLayout>
          <c:xMode val="edge"/>
          <c:yMode val="edge"/>
          <c:x val="0.29320968212306797"/>
          <c:y val="2.8628071269918069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2346806649168874E-2"/>
          <c:y val="0.15196681624409211"/>
          <c:w val="0.93135689705453484"/>
          <c:h val="0.83375598985133137"/>
        </c:manualLayout>
      </c:layout>
      <c:barChart>
        <c:barDir val="col"/>
        <c:grouping val="clustered"/>
        <c:varyColors val="1"/>
        <c:ser>
          <c:idx val="0"/>
          <c:order val="0"/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</c:spPr>
          <c:invertIfNegative val="1"/>
          <c:dLbls>
            <c:dLbl>
              <c:idx val="1"/>
              <c:layout>
                <c:manualLayout>
                  <c:x val="1.0318663903648046E-2"/>
                  <c:y val="3.038427979567409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2"/>
              <c:layout>
                <c:manualLayout>
                  <c:x val="1.7197773172746751E-3"/>
                  <c:y val="0.19142096271274678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5"/>
              <c:layout>
                <c:manualLayout>
                  <c:x val="3.4395546345493515E-3"/>
                  <c:y val="4.8614847673078512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numFmt formatCode="#,##0.0" sourceLinked="0"/>
            <c:spPr>
              <a:gradFill>
                <a:gsLst>
                  <a:gs pos="0">
                    <a:srgbClr val="FBEAC7"/>
                  </a:gs>
                  <a:gs pos="17999">
                    <a:srgbClr val="FEE7F2"/>
                  </a:gs>
                  <a:gs pos="36000">
                    <a:srgbClr val="FAC77D"/>
                  </a:gs>
                  <a:gs pos="61000">
                    <a:srgbClr val="FBA97D"/>
                  </a:gs>
                  <a:gs pos="82001">
                    <a:srgbClr val="FBD49C"/>
                  </a:gs>
                  <a:gs pos="100000">
                    <a:srgbClr val="FEE7F2"/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eparator>
</c:separator>
            <c:showLeaderLines val="0"/>
          </c:dLbls>
          <c:cat>
            <c:strRef>
              <c:f>'аналіз по КБКД'!$C$11:$C$77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Акцизний податок з реалізації суб`єктами господарювання роздрібної торгівлі підакцизних товарів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розміщення тимчасово вільних коштів місцевих бюджетів </c:v>
                </c:pt>
                <c:pt idx="6">
                  <c:v>Інші податкові і неподаткові надходження</c:v>
                </c:pt>
              </c:strCache>
            </c:strRef>
          </c:cat>
          <c:val>
            <c:numRef>
              <c:f>'аналіз по КБКД'!$AG$11:$AG$77</c:f>
              <c:numCache>
                <c:formatCode>0.0</c:formatCode>
                <c:ptCount val="7"/>
                <c:pt idx="0">
                  <c:v>14.640249266243728</c:v>
                </c:pt>
                <c:pt idx="1">
                  <c:v>-41.762010016512072</c:v>
                </c:pt>
                <c:pt idx="2">
                  <c:v>125.89971261101493</c:v>
                </c:pt>
                <c:pt idx="3">
                  <c:v>6.1508074979422815</c:v>
                </c:pt>
                <c:pt idx="4">
                  <c:v>4.5099442227515709</c:v>
                </c:pt>
                <c:pt idx="5">
                  <c:v>-21.75751813589676</c:v>
                </c:pt>
                <c:pt idx="6">
                  <c:v>2.4228959874427005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1807104"/>
        <c:axId val="151808640"/>
      </c:barChart>
      <c:catAx>
        <c:axId val="151807104"/>
        <c:scaling>
          <c:orientation val="minMax"/>
        </c:scaling>
        <c:delete val="1"/>
        <c:axPos val="b"/>
        <c:numFmt formatCode="General" sourceLinked="1"/>
        <c:majorTickMark val="none"/>
        <c:minorTickMark val="cross"/>
        <c:tickLblPos val="none"/>
        <c:crossAx val="151808640"/>
        <c:crosses val="autoZero"/>
        <c:auto val="1"/>
        <c:lblAlgn val="ctr"/>
        <c:lblOffset val="100"/>
        <c:noMultiLvlLbl val="1"/>
      </c:catAx>
      <c:valAx>
        <c:axId val="151808640"/>
        <c:scaling>
          <c:orientation val="minMax"/>
        </c:scaling>
        <c:delete val="1"/>
        <c:axPos val="l"/>
        <c:majorGridlines/>
        <c:numFmt formatCode="0.0" sourceLinked="1"/>
        <c:majorTickMark val="none"/>
        <c:minorTickMark val="cross"/>
        <c:tickLblPos val="nextTo"/>
        <c:crossAx val="151807104"/>
        <c:crosses val="autoZero"/>
        <c:crossBetween val="between"/>
      </c:valAx>
    </c:plotArea>
    <c:plotVisOnly val="1"/>
    <c:dispBlanksAs val="zero"/>
    <c:showDLblsOverMax val="1"/>
  </c:chart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tx>
        <c:rich>
          <a:bodyPr/>
          <a:lstStyle/>
          <a:p>
            <a:pPr>
              <a:defRPr/>
            </a:pPr>
            <a:r>
              <a:rPr lang="uk-UA" sz="1000"/>
              <a:t>                                                                                 Діаграма 5 - доходи.</a:t>
            </a:r>
          </a:p>
          <a:p>
            <a:pPr>
              <a:defRPr/>
            </a:pPr>
            <a:r>
              <a:rPr lang="uk-UA" sz="1000"/>
              <a:t>Абсолютний приріст</a:t>
            </a:r>
            <a:r>
              <a:rPr lang="uk-UA" sz="1000" baseline="0"/>
              <a:t> </a:t>
            </a:r>
            <a:r>
              <a:rPr lang="uk-UA" sz="1000"/>
              <a:t>власних доходів у січні-березні 2018 року </a:t>
            </a:r>
          </a:p>
          <a:p>
            <a:pPr>
              <a:defRPr/>
            </a:pPr>
            <a:r>
              <a:rPr lang="uk-UA" sz="1000"/>
              <a:t>порівняно з аналогічним періодом 2017 року, гривень</a:t>
            </a:r>
          </a:p>
        </c:rich>
      </c:tx>
      <c:layout>
        <c:manualLayout>
          <c:xMode val="edge"/>
          <c:yMode val="edge"/>
          <c:x val="0.1454606997905023"/>
          <c:y val="2.370990132947204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39071604349988E-2"/>
          <c:y val="0.17481907665056381"/>
          <c:w val="0.87936131123838013"/>
          <c:h val="0.7709266949592376"/>
        </c:manualLayout>
      </c:layout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>
                <c:manualLayout>
                  <c:x val="4.3763873759939433E-2"/>
                  <c:y val="0.2106666666666667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1"/>
              <c:layout>
                <c:manualLayout>
                  <c:x val="2.7666497139053532E-17"/>
                  <c:y val="5.866666666666656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4"/>
              <c:layout>
                <c:manualLayout>
                  <c:x val="1.4305748770775719E-2"/>
                  <c:y val="-4.267782239304966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5"/>
              <c:layout>
                <c:manualLayout>
                  <c:x val="-3.0181981903406492E-3"/>
                  <c:y val="6.9333333333333413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sz="850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eparator>
</c:separator>
            <c:showLeaderLines val="0"/>
          </c:dLbls>
          <c:cat>
            <c:strRef>
              <c:f>'аналіз по КБКД'!$J$99:$J$105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Акцизний податок з реалізації суб`єктами господарювання роздрібної торгівлі підакцизних товарів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розміщення тимчасово вільних коштів місцевих бюджетів </c:v>
                </c:pt>
                <c:pt idx="6">
                  <c:v>Інші податкові і неподаткові надходження</c:v>
                </c:pt>
              </c:strCache>
            </c:strRef>
          </c:cat>
          <c:val>
            <c:numRef>
              <c:f>'аналіз по КБКД'!$K$99:$K$105</c:f>
              <c:numCache>
                <c:formatCode>#,##0_ ;[Red]\-#,##0\ </c:formatCode>
                <c:ptCount val="7"/>
                <c:pt idx="0">
                  <c:v>1258603.7300000004</c:v>
                </c:pt>
                <c:pt idx="1">
                  <c:v>-211282.62</c:v>
                </c:pt>
                <c:pt idx="2">
                  <c:v>312899.5</c:v>
                </c:pt>
                <c:pt idx="3">
                  <c:v>66258.800000000047</c:v>
                </c:pt>
                <c:pt idx="4">
                  <c:v>47080.060000000056</c:v>
                </c:pt>
                <c:pt idx="5">
                  <c:v>-332979.43999999994</c:v>
                </c:pt>
                <c:pt idx="6">
                  <c:v>15460.650000002235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821312"/>
        <c:axId val="151831296"/>
      </c:barChart>
      <c:catAx>
        <c:axId val="151821312"/>
        <c:scaling>
          <c:orientation val="minMax"/>
        </c:scaling>
        <c:delete val="1"/>
        <c:axPos val="b"/>
        <c:majorTickMark val="none"/>
        <c:minorTickMark val="cross"/>
        <c:tickLblPos val="none"/>
        <c:crossAx val="151831296"/>
        <c:crosses val="autoZero"/>
        <c:auto val="1"/>
        <c:lblAlgn val="ctr"/>
        <c:lblOffset val="100"/>
        <c:noMultiLvlLbl val="1"/>
      </c:catAx>
      <c:valAx>
        <c:axId val="151831296"/>
        <c:scaling>
          <c:orientation val="minMax"/>
        </c:scaling>
        <c:delete val="1"/>
        <c:axPos val="l"/>
        <c:majorGridlines/>
        <c:numFmt formatCode="#,##0_ ;[Red]\-#,##0\ " sourceLinked="1"/>
        <c:majorTickMark val="none"/>
        <c:minorTickMark val="cross"/>
        <c:tickLblPos val="nextTo"/>
        <c:crossAx val="151821312"/>
        <c:crosses val="autoZero"/>
        <c:crossBetween val="between"/>
      </c:valAx>
    </c:plotArea>
    <c:plotVisOnly val="1"/>
    <c:dispBlanksAs val="zero"/>
    <c:showDLblsOverMax val="1"/>
  </c:chart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tx>
        <c:rich>
          <a:bodyPr/>
          <a:lstStyle/>
          <a:p>
            <a:pPr>
              <a:defRPr sz="1000"/>
            </a:pPr>
            <a:r>
              <a:rPr lang="uk-UA" sz="1000"/>
              <a:t>                                                                                                  Діаграма 2 - видатки.</a:t>
            </a:r>
          </a:p>
          <a:p>
            <a:pPr>
              <a:defRPr sz="1000"/>
            </a:pPr>
            <a:r>
              <a:rPr lang="uk-UA" sz="1000"/>
              <a:t>Економічна структура </a:t>
            </a:r>
            <a:r>
              <a:rPr lang="uk-UA" sz="1000" baseline="0"/>
              <a:t> касових видатків загального фонду міського бюджету </a:t>
            </a:r>
          </a:p>
          <a:p>
            <a:pPr>
              <a:defRPr sz="1000"/>
            </a:pPr>
            <a:r>
              <a:rPr lang="uk-UA" sz="1000" baseline="0"/>
              <a:t>у січні-березні 2018 року </a:t>
            </a:r>
            <a:endParaRPr lang="uk-UA" sz="1000"/>
          </a:p>
        </c:rich>
      </c:tx>
      <c:overlay val="1"/>
    </c:title>
    <c:autoTitleDeleted val="0"/>
    <c:view3D>
      <c:rotX val="30"/>
      <c:rotY val="28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</c:spPr>
          <c:explosion val="9"/>
          <c:dLbls>
            <c:dLbl>
              <c:idx val="0"/>
              <c:layout>
                <c:manualLayout>
                  <c:x val="-0.30167459049197731"/>
                  <c:y val="0.1590579088715518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праці і нарахування на заробітну плату
16 415 171  грн.</a:t>
                    </a:r>
                  </a:p>
                  <a:p>
                    <a:r>
                      <a:rPr lang="uk-UA"/>
                      <a:t>58,2%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1"/>
              <c:layout>
                <c:manualLayout>
                  <c:x val="-4.500464075977887E-2"/>
                  <c:y val="-0.3281681076817982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Медикаменти та перев`язувальні матеріали
8 932  грню</a:t>
                    </a:r>
                  </a:p>
                  <a:p>
                    <a:r>
                      <a:rPr lang="en-US"/>
                      <a:t>&lt;</a:t>
                    </a:r>
                    <a:r>
                      <a:rPr lang="uk-UA"/>
                      <a:t>0,</a:t>
                    </a:r>
                    <a:r>
                      <a:rPr lang="en-US"/>
                      <a:t>1</a:t>
                    </a:r>
                    <a:r>
                      <a:rPr lang="uk-UA"/>
                      <a:t>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2"/>
              <c:layout>
                <c:manualLayout>
                  <c:x val="-2.8225015823997321E-2"/>
                  <c:y val="5.1268181271787457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Продукти харчування
319 230 грн.
1,1%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3"/>
              <c:layout>
                <c:manualLayout>
                  <c:x val="-0.15412113660296395"/>
                  <c:y val="-0.18301533515695795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комунальних послуг та енергоносіїв
2 589 838  грн.</a:t>
                    </a:r>
                  </a:p>
                  <a:p>
                    <a:r>
                      <a:rPr lang="uk-UA"/>
                      <a:t>9,2%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4"/>
              <c:layout>
                <c:manualLayout>
                  <c:x val="0.11731068680406338"/>
                  <c:y val="-0.2052119890113435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Поточні трансферти органам державного управління інших рівнів
4 119 500 грн.
14,6%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Соціальне забезпечення
200 087 грн.
0,7%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Інші видатки
4 528 376  грн.
16,1%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separator>
</c:separator>
            </c:dLbl>
            <c:numFmt formatCode="0.0%" sourceLinked="0"/>
            <c:spPr>
              <a:gradFill>
                <a:gsLst>
                  <a:gs pos="0">
                    <a:srgbClr val="FBEAC7"/>
                  </a:gs>
                  <a:gs pos="17999">
                    <a:srgbClr val="FEE7F2"/>
                  </a:gs>
                  <a:gs pos="36000">
                    <a:srgbClr val="FAC77D"/>
                  </a:gs>
                  <a:gs pos="61000">
                    <a:srgbClr val="FBA97D"/>
                  </a:gs>
                  <a:gs pos="82001">
                    <a:srgbClr val="FBD49C"/>
                  </a:gs>
                  <a:gs pos="100000">
                    <a:srgbClr val="FEE7F2"/>
                  </a:gs>
                </a:gsLst>
                <a:lin ang="5400000" scaled="0"/>
              </a:gradFill>
            </c:spPr>
            <c:showLegendKey val="1"/>
            <c:showVal val="1"/>
            <c:showCatName val="1"/>
            <c:showSerName val="1"/>
            <c:showPercent val="1"/>
            <c:showBubbleSize val="1"/>
            <c:separator>
</c:separator>
            <c:showLeaderLines val="1"/>
          </c:dLbls>
          <c:cat>
            <c:strRef>
              <c:f>Лист1!$E$501:$E$507</c:f>
              <c:strCache>
                <c:ptCount val="7"/>
                <c:pt idx="0">
                  <c:v>Оплата праці і нарахування на заробітну плату</c:v>
                </c:pt>
                <c:pt idx="1">
                  <c:v>Медикаменти та перев`язувальні матеріали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Поточні трансферти органам державного управління інших рівнів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Лист1!$I$501:$I$507</c:f>
              <c:numCache>
                <c:formatCode>#,##0_ ;[Red]\-#,##0\ </c:formatCode>
                <c:ptCount val="7"/>
                <c:pt idx="0">
                  <c:v>16415170.850000001</c:v>
                </c:pt>
                <c:pt idx="1">
                  <c:v>8931.91</c:v>
                </c:pt>
                <c:pt idx="2">
                  <c:v>319230.23</c:v>
                </c:pt>
                <c:pt idx="3">
                  <c:v>2589838.1399999997</c:v>
                </c:pt>
                <c:pt idx="4">
                  <c:v>4119500</c:v>
                </c:pt>
                <c:pt idx="5">
                  <c:v>200086.85</c:v>
                </c:pt>
                <c:pt idx="6">
                  <c:v>4528375.8299999963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A187-FB7E-4523-8855-45E8BB20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5037</Words>
  <Characters>28714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12</cp:revision>
  <cp:lastPrinted>2018-04-24T13:53:00Z</cp:lastPrinted>
  <dcterms:created xsi:type="dcterms:W3CDTF">2018-04-17T06:14:00Z</dcterms:created>
  <dcterms:modified xsi:type="dcterms:W3CDTF">2018-04-25T05:58:00Z</dcterms:modified>
</cp:coreProperties>
</file>